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C4AC1" w14:textId="77777777" w:rsidR="00F1257F" w:rsidRPr="00CC4516" w:rsidRDefault="000226E9" w:rsidP="00DA6E60">
      <w:pPr>
        <w:jc w:val="both"/>
        <w:rPr>
          <w:rFonts w:ascii="Arial" w:hAnsi="Arial" w:cs="Arial"/>
          <w:b/>
          <w:sz w:val="28"/>
          <w:szCs w:val="28"/>
        </w:rPr>
      </w:pPr>
      <w:r w:rsidRPr="00CC4516">
        <w:rPr>
          <w:rFonts w:ascii="Arial" w:hAnsi="Arial" w:cs="Arial"/>
          <w:b/>
          <w:sz w:val="28"/>
          <w:szCs w:val="28"/>
        </w:rPr>
        <w:t xml:space="preserve">Workforce </w:t>
      </w:r>
      <w:r w:rsidR="00CC4516" w:rsidRPr="00CC4516">
        <w:rPr>
          <w:rFonts w:ascii="Arial" w:hAnsi="Arial" w:cs="Arial"/>
          <w:b/>
          <w:sz w:val="28"/>
          <w:szCs w:val="28"/>
        </w:rPr>
        <w:t>r</w:t>
      </w:r>
      <w:r w:rsidR="00AA2C6F" w:rsidRPr="00CC4516">
        <w:rPr>
          <w:rFonts w:ascii="Arial" w:hAnsi="Arial" w:cs="Arial"/>
          <w:b/>
          <w:sz w:val="28"/>
          <w:szCs w:val="28"/>
        </w:rPr>
        <w:t>eport</w:t>
      </w:r>
      <w:r w:rsidR="00B72A7F" w:rsidRPr="00CC4516">
        <w:rPr>
          <w:rFonts w:ascii="Arial" w:hAnsi="Arial" w:cs="Arial"/>
          <w:b/>
          <w:sz w:val="28"/>
          <w:szCs w:val="28"/>
        </w:rPr>
        <w:t xml:space="preserve"> </w:t>
      </w:r>
      <w:r w:rsidR="00465802" w:rsidRPr="00CC4516">
        <w:rPr>
          <w:rFonts w:ascii="Arial" w:hAnsi="Arial" w:cs="Arial"/>
          <w:b/>
          <w:sz w:val="28"/>
          <w:szCs w:val="28"/>
        </w:rPr>
        <w:t xml:space="preserve"> </w:t>
      </w:r>
    </w:p>
    <w:p w14:paraId="06AC7BD3" w14:textId="77777777" w:rsidR="00AA2C6F" w:rsidRPr="00CC4516" w:rsidRDefault="00AA2C6F" w:rsidP="00DA6E60">
      <w:pPr>
        <w:jc w:val="both"/>
        <w:rPr>
          <w:rFonts w:ascii="Arial" w:hAnsi="Arial" w:cs="Arial"/>
          <w:b/>
        </w:rPr>
      </w:pPr>
    </w:p>
    <w:p w14:paraId="2216F97D" w14:textId="77777777" w:rsidR="00144D51" w:rsidRPr="00CC4516" w:rsidRDefault="00144D51" w:rsidP="00DA6E60">
      <w:pPr>
        <w:jc w:val="both"/>
        <w:rPr>
          <w:rFonts w:ascii="Arial" w:hAnsi="Arial" w:cs="Arial"/>
          <w:b/>
        </w:rPr>
      </w:pPr>
    </w:p>
    <w:p w14:paraId="666DEDD9" w14:textId="77777777" w:rsidR="009B492D" w:rsidRPr="00CC4516" w:rsidRDefault="00487760" w:rsidP="00DA6E60">
      <w:pPr>
        <w:jc w:val="both"/>
        <w:rPr>
          <w:rFonts w:ascii="Arial" w:hAnsi="Arial" w:cs="Arial"/>
          <w:b/>
        </w:rPr>
      </w:pPr>
      <w:r w:rsidRPr="00CC4516">
        <w:rPr>
          <w:rFonts w:ascii="Arial" w:hAnsi="Arial" w:cs="Arial"/>
          <w:b/>
        </w:rPr>
        <w:t xml:space="preserve">Purpose </w:t>
      </w:r>
    </w:p>
    <w:p w14:paraId="224A9BF0" w14:textId="77777777" w:rsidR="00487760" w:rsidRPr="00CC4516" w:rsidRDefault="00487760" w:rsidP="00144D51">
      <w:pPr>
        <w:rPr>
          <w:rFonts w:ascii="Arial" w:hAnsi="Arial" w:cs="Arial"/>
        </w:rPr>
      </w:pPr>
    </w:p>
    <w:p w14:paraId="234D1491" w14:textId="77777777" w:rsidR="009D4A1C" w:rsidRPr="00CC4516" w:rsidRDefault="009D4A1C" w:rsidP="009D4A1C">
      <w:pPr>
        <w:jc w:val="both"/>
        <w:rPr>
          <w:rFonts w:ascii="Arial" w:hAnsi="Arial" w:cs="Arial"/>
        </w:rPr>
      </w:pPr>
      <w:r w:rsidRPr="00CC4516">
        <w:rPr>
          <w:rFonts w:ascii="Arial" w:hAnsi="Arial" w:cs="Arial"/>
        </w:rPr>
        <w:t>To update the Fire Services Management Committee</w:t>
      </w:r>
      <w:r w:rsidR="004F4241" w:rsidRPr="00CC4516">
        <w:rPr>
          <w:rFonts w:ascii="Arial" w:hAnsi="Arial" w:cs="Arial"/>
        </w:rPr>
        <w:t xml:space="preserve"> on matters in relation to f</w:t>
      </w:r>
      <w:r w:rsidRPr="00CC4516">
        <w:rPr>
          <w:rFonts w:ascii="Arial" w:hAnsi="Arial" w:cs="Arial"/>
        </w:rPr>
        <w:t>ire service industrial relations and pension matters</w:t>
      </w:r>
      <w:r w:rsidR="00CC4516" w:rsidRPr="00CC4516">
        <w:rPr>
          <w:rFonts w:ascii="Arial" w:hAnsi="Arial" w:cs="Arial"/>
        </w:rPr>
        <w:t>.</w:t>
      </w:r>
      <w:r w:rsidRPr="00CC4516">
        <w:rPr>
          <w:rFonts w:ascii="Arial" w:hAnsi="Arial" w:cs="Arial"/>
        </w:rPr>
        <w:t xml:space="preserve"> </w:t>
      </w:r>
    </w:p>
    <w:p w14:paraId="5F1AB200" w14:textId="77777777" w:rsidR="009D4A1C" w:rsidRPr="00CC4516" w:rsidRDefault="009D4A1C" w:rsidP="009D4A1C">
      <w:pPr>
        <w:jc w:val="both"/>
        <w:rPr>
          <w:rFonts w:ascii="Arial" w:hAnsi="Arial" w:cs="Arial"/>
        </w:rPr>
      </w:pPr>
    </w:p>
    <w:p w14:paraId="1E2B941A" w14:textId="77777777" w:rsidR="009D4A1C" w:rsidRPr="00CC4516" w:rsidRDefault="009D4A1C" w:rsidP="009D4A1C">
      <w:pPr>
        <w:jc w:val="both"/>
        <w:rPr>
          <w:rFonts w:ascii="Arial" w:hAnsi="Arial" w:cs="Arial"/>
          <w:b/>
        </w:rPr>
      </w:pPr>
      <w:r w:rsidRPr="00CC4516">
        <w:rPr>
          <w:rFonts w:ascii="Arial" w:hAnsi="Arial" w:cs="Arial"/>
          <w:b/>
        </w:rPr>
        <w:t>Summary</w:t>
      </w:r>
    </w:p>
    <w:p w14:paraId="08DD64B8" w14:textId="77777777" w:rsidR="009D4A1C" w:rsidRPr="00CC4516" w:rsidRDefault="009D4A1C" w:rsidP="009D4A1C">
      <w:pPr>
        <w:jc w:val="both"/>
        <w:rPr>
          <w:rFonts w:ascii="Arial" w:hAnsi="Arial" w:cs="Arial"/>
        </w:rPr>
      </w:pPr>
    </w:p>
    <w:p w14:paraId="306D8DF5" w14:textId="77777777" w:rsidR="009D4A1C" w:rsidRPr="00CC4516" w:rsidRDefault="009D4A1C" w:rsidP="009D4A1C">
      <w:pPr>
        <w:jc w:val="both"/>
        <w:rPr>
          <w:rFonts w:ascii="Arial" w:hAnsi="Arial" w:cs="Arial"/>
        </w:rPr>
      </w:pPr>
      <w:r w:rsidRPr="00CC4516">
        <w:rPr>
          <w:rFonts w:ascii="Arial" w:hAnsi="Arial" w:cs="Arial"/>
        </w:rPr>
        <w:t xml:space="preserve">This paper is for information and briefly describes the main industrial relations and pension issues at present.  </w:t>
      </w:r>
    </w:p>
    <w:p w14:paraId="75EBC2CC" w14:textId="77777777" w:rsidR="004311A2" w:rsidRPr="00CC4516"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CC4516" w14:paraId="31661AC7" w14:textId="77777777" w:rsidTr="00CC4516">
        <w:trPr>
          <w:trHeight w:val="1582"/>
        </w:trPr>
        <w:tc>
          <w:tcPr>
            <w:tcW w:w="8856" w:type="dxa"/>
            <w:shd w:val="clear" w:color="auto" w:fill="auto"/>
          </w:tcPr>
          <w:p w14:paraId="709D014B" w14:textId="77777777" w:rsidR="00F322D8" w:rsidRPr="00CC4516" w:rsidRDefault="00F322D8" w:rsidP="00DA6E60">
            <w:pPr>
              <w:jc w:val="both"/>
              <w:rPr>
                <w:rFonts w:ascii="Arial" w:hAnsi="Arial" w:cs="Arial"/>
                <w:b/>
              </w:rPr>
            </w:pPr>
          </w:p>
          <w:p w14:paraId="52479DBF" w14:textId="77777777" w:rsidR="004F4241" w:rsidRPr="00CC4516" w:rsidRDefault="004F4241" w:rsidP="004F4241">
            <w:pPr>
              <w:jc w:val="both"/>
              <w:rPr>
                <w:rFonts w:ascii="Arial" w:hAnsi="Arial" w:cs="Arial"/>
                <w:b/>
              </w:rPr>
            </w:pPr>
            <w:r w:rsidRPr="00CC4516">
              <w:rPr>
                <w:rFonts w:ascii="Arial" w:hAnsi="Arial" w:cs="Arial"/>
                <w:b/>
              </w:rPr>
              <w:t>Recommendation</w:t>
            </w:r>
          </w:p>
          <w:p w14:paraId="207B79D6" w14:textId="77777777" w:rsidR="004F4241" w:rsidRPr="00CC4516" w:rsidRDefault="004F4241" w:rsidP="004F4241">
            <w:pPr>
              <w:jc w:val="both"/>
              <w:rPr>
                <w:rFonts w:ascii="Arial" w:hAnsi="Arial" w:cs="Arial"/>
                <w:b/>
              </w:rPr>
            </w:pPr>
          </w:p>
          <w:p w14:paraId="3BFDCB3A" w14:textId="77777777" w:rsidR="004F4241" w:rsidRPr="00CC4516" w:rsidRDefault="00CC4516" w:rsidP="002E6900">
            <w:pPr>
              <w:jc w:val="both"/>
              <w:rPr>
                <w:rFonts w:ascii="Arial" w:hAnsi="Arial" w:cs="Arial"/>
              </w:rPr>
            </w:pPr>
            <w:r w:rsidRPr="00CC4516">
              <w:rPr>
                <w:rFonts w:ascii="Arial" w:hAnsi="Arial" w:cs="Arial"/>
              </w:rPr>
              <w:t>Fire Services Management Committee m</w:t>
            </w:r>
            <w:r w:rsidR="004F4241" w:rsidRPr="00CC4516">
              <w:rPr>
                <w:rFonts w:ascii="Arial" w:hAnsi="Arial" w:cs="Arial"/>
              </w:rPr>
              <w:t>embers are asked to</w:t>
            </w:r>
            <w:r w:rsidR="002E6900" w:rsidRPr="00CC4516">
              <w:rPr>
                <w:rFonts w:ascii="Arial" w:hAnsi="Arial" w:cs="Arial"/>
              </w:rPr>
              <w:t xml:space="preserve"> </w:t>
            </w:r>
            <w:r w:rsidR="004F4241" w:rsidRPr="00CC4516">
              <w:rPr>
                <w:rFonts w:ascii="Arial" w:hAnsi="Arial" w:cs="Arial"/>
              </w:rPr>
              <w:t xml:space="preserve">note the issues set out in the paper. </w:t>
            </w:r>
          </w:p>
          <w:p w14:paraId="126A4AA9" w14:textId="77777777" w:rsidR="00C94526" w:rsidRPr="00CC4516" w:rsidRDefault="00C94526" w:rsidP="004F4241">
            <w:pPr>
              <w:jc w:val="both"/>
              <w:rPr>
                <w:rFonts w:ascii="Arial" w:hAnsi="Arial" w:cs="Arial"/>
              </w:rPr>
            </w:pPr>
          </w:p>
          <w:p w14:paraId="12BF0007" w14:textId="77777777" w:rsidR="004F4241" w:rsidRPr="00CC4516" w:rsidRDefault="00CC4516" w:rsidP="004F4241">
            <w:pPr>
              <w:jc w:val="both"/>
              <w:rPr>
                <w:rFonts w:ascii="Arial" w:hAnsi="Arial" w:cs="Arial"/>
                <w:b/>
              </w:rPr>
            </w:pPr>
            <w:r w:rsidRPr="00CC4516">
              <w:rPr>
                <w:rFonts w:ascii="Arial" w:hAnsi="Arial" w:cs="Arial"/>
                <w:b/>
              </w:rPr>
              <w:t>Action</w:t>
            </w:r>
          </w:p>
          <w:p w14:paraId="4470BCB9" w14:textId="77777777" w:rsidR="00CC4516" w:rsidRPr="00CC4516" w:rsidRDefault="00CC4516" w:rsidP="004F4241">
            <w:pPr>
              <w:jc w:val="both"/>
              <w:rPr>
                <w:rFonts w:ascii="Arial" w:hAnsi="Arial" w:cs="Arial"/>
                <w:b/>
              </w:rPr>
            </w:pPr>
          </w:p>
          <w:p w14:paraId="3404D72E" w14:textId="77777777" w:rsidR="00CC4516" w:rsidRPr="00CC4516" w:rsidRDefault="00CC4516" w:rsidP="004F4241">
            <w:pPr>
              <w:jc w:val="both"/>
              <w:rPr>
                <w:rFonts w:ascii="Arial" w:hAnsi="Arial" w:cs="Arial"/>
              </w:rPr>
            </w:pPr>
            <w:r w:rsidRPr="00CC4516">
              <w:rPr>
                <w:rFonts w:ascii="Arial" w:hAnsi="Arial" w:cs="Arial"/>
              </w:rPr>
              <w:t>Officers to proceed as directed by members.</w:t>
            </w:r>
          </w:p>
          <w:p w14:paraId="38BFCE9C" w14:textId="77777777" w:rsidR="00F322D8" w:rsidRPr="00CC4516" w:rsidRDefault="00F322D8" w:rsidP="004A7DA6">
            <w:pPr>
              <w:jc w:val="both"/>
              <w:rPr>
                <w:rFonts w:ascii="Arial" w:hAnsi="Arial" w:cs="Arial"/>
              </w:rPr>
            </w:pPr>
          </w:p>
        </w:tc>
      </w:tr>
    </w:tbl>
    <w:p w14:paraId="351E118C" w14:textId="77777777" w:rsidR="00487760" w:rsidRPr="00CC4516" w:rsidRDefault="00487760" w:rsidP="00DA6E60">
      <w:pPr>
        <w:jc w:val="both"/>
        <w:rPr>
          <w:rFonts w:ascii="Arial" w:hAnsi="Arial" w:cs="Arial"/>
          <w:b/>
        </w:rPr>
      </w:pPr>
    </w:p>
    <w:p w14:paraId="5D93E5C0" w14:textId="77777777" w:rsidR="00CC4516" w:rsidRPr="00CC4516" w:rsidRDefault="00CC4516" w:rsidP="00DA6E60">
      <w:pPr>
        <w:jc w:val="both"/>
        <w:rPr>
          <w:rFonts w:ascii="Arial" w:hAnsi="Arial" w:cs="Arial"/>
          <w:b/>
        </w:rPr>
      </w:pPr>
    </w:p>
    <w:p w14:paraId="0DE1D1F1" w14:textId="77777777" w:rsidR="00CC4516" w:rsidRPr="00CC4516" w:rsidRDefault="00CC4516" w:rsidP="00DA6E60">
      <w:pPr>
        <w:jc w:val="both"/>
        <w:rPr>
          <w:rFonts w:ascii="Arial" w:hAnsi="Arial" w:cs="Arial"/>
          <w:b/>
        </w:rPr>
      </w:pPr>
    </w:p>
    <w:tbl>
      <w:tblPr>
        <w:tblW w:w="0" w:type="auto"/>
        <w:tblLook w:val="01E0" w:firstRow="1" w:lastRow="1" w:firstColumn="1" w:lastColumn="1" w:noHBand="0" w:noVBand="0"/>
      </w:tblPr>
      <w:tblGrid>
        <w:gridCol w:w="2271"/>
        <w:gridCol w:w="3456"/>
        <w:gridCol w:w="3456"/>
      </w:tblGrid>
      <w:tr w:rsidR="000062A7" w:rsidRPr="00CC4516" w14:paraId="4E4B7F9E" w14:textId="77777777" w:rsidTr="00956074">
        <w:trPr>
          <w:trHeight w:val="410"/>
        </w:trPr>
        <w:tc>
          <w:tcPr>
            <w:tcW w:w="2271" w:type="dxa"/>
          </w:tcPr>
          <w:p w14:paraId="2B3FC033" w14:textId="77777777" w:rsidR="000062A7" w:rsidRPr="00CC4516" w:rsidRDefault="000062A7" w:rsidP="00DA6E60">
            <w:pPr>
              <w:pStyle w:val="MainText"/>
              <w:spacing w:after="120" w:line="240" w:lineRule="auto"/>
              <w:jc w:val="both"/>
              <w:rPr>
                <w:rFonts w:ascii="Arial" w:hAnsi="Arial" w:cs="Arial"/>
                <w:szCs w:val="22"/>
              </w:rPr>
            </w:pPr>
            <w:r w:rsidRPr="00CC4516">
              <w:rPr>
                <w:rFonts w:ascii="Arial" w:hAnsi="Arial" w:cs="Arial"/>
                <w:b/>
                <w:szCs w:val="22"/>
              </w:rPr>
              <w:t>Contact officer:</w:t>
            </w:r>
            <w:r w:rsidRPr="00CC4516">
              <w:rPr>
                <w:rFonts w:ascii="Arial" w:hAnsi="Arial" w:cs="Arial"/>
                <w:szCs w:val="22"/>
              </w:rPr>
              <w:t xml:space="preserve">  </w:t>
            </w:r>
          </w:p>
        </w:tc>
        <w:tc>
          <w:tcPr>
            <w:tcW w:w="3456" w:type="dxa"/>
          </w:tcPr>
          <w:p w14:paraId="47BD4077" w14:textId="77777777" w:rsidR="000062A7" w:rsidRPr="00CC4516" w:rsidRDefault="000062A7" w:rsidP="000062A7">
            <w:pPr>
              <w:pStyle w:val="MainText"/>
              <w:tabs>
                <w:tab w:val="left" w:pos="4578"/>
              </w:tabs>
              <w:spacing w:after="120" w:line="240" w:lineRule="auto"/>
              <w:jc w:val="both"/>
              <w:rPr>
                <w:rFonts w:ascii="Arial" w:hAnsi="Arial" w:cs="Arial"/>
                <w:szCs w:val="22"/>
              </w:rPr>
            </w:pPr>
            <w:r w:rsidRPr="00CC4516">
              <w:rPr>
                <w:rFonts w:ascii="Arial" w:hAnsi="Arial" w:cs="Arial"/>
                <w:szCs w:val="22"/>
              </w:rPr>
              <w:t xml:space="preserve">Gill Gittins (industrial relations) </w:t>
            </w:r>
          </w:p>
        </w:tc>
        <w:tc>
          <w:tcPr>
            <w:tcW w:w="3456" w:type="dxa"/>
          </w:tcPr>
          <w:p w14:paraId="425EEA33" w14:textId="77777777" w:rsidR="000062A7" w:rsidRPr="00CC4516" w:rsidRDefault="000062A7" w:rsidP="000062A7">
            <w:pPr>
              <w:pStyle w:val="MainText"/>
              <w:tabs>
                <w:tab w:val="left" w:pos="4578"/>
              </w:tabs>
              <w:spacing w:after="120" w:line="240" w:lineRule="auto"/>
              <w:jc w:val="both"/>
              <w:rPr>
                <w:rFonts w:ascii="Arial" w:hAnsi="Arial" w:cs="Arial"/>
                <w:szCs w:val="22"/>
              </w:rPr>
            </w:pPr>
            <w:r w:rsidRPr="00CC4516">
              <w:rPr>
                <w:rFonts w:ascii="Arial" w:hAnsi="Arial" w:cs="Arial"/>
                <w:szCs w:val="22"/>
              </w:rPr>
              <w:t>Clair Alcock (pensions)</w:t>
            </w:r>
          </w:p>
        </w:tc>
      </w:tr>
      <w:tr w:rsidR="000062A7" w:rsidRPr="00CC4516" w14:paraId="351583C0" w14:textId="77777777" w:rsidTr="00956074">
        <w:trPr>
          <w:trHeight w:val="394"/>
        </w:trPr>
        <w:tc>
          <w:tcPr>
            <w:tcW w:w="2271" w:type="dxa"/>
          </w:tcPr>
          <w:p w14:paraId="416BA91D" w14:textId="77777777" w:rsidR="000062A7" w:rsidRPr="00CC4516" w:rsidRDefault="000062A7" w:rsidP="00DA6E60">
            <w:pPr>
              <w:pStyle w:val="MainText"/>
              <w:spacing w:after="120" w:line="240" w:lineRule="auto"/>
              <w:jc w:val="both"/>
              <w:rPr>
                <w:rFonts w:ascii="Arial" w:hAnsi="Arial" w:cs="Arial"/>
                <w:b/>
                <w:szCs w:val="22"/>
              </w:rPr>
            </w:pPr>
            <w:r w:rsidRPr="00CC4516">
              <w:rPr>
                <w:rFonts w:ascii="Arial" w:hAnsi="Arial" w:cs="Arial"/>
                <w:b/>
                <w:szCs w:val="22"/>
              </w:rPr>
              <w:t>Position:</w:t>
            </w:r>
          </w:p>
        </w:tc>
        <w:tc>
          <w:tcPr>
            <w:tcW w:w="3456" w:type="dxa"/>
          </w:tcPr>
          <w:p w14:paraId="5A4399C5" w14:textId="77777777" w:rsidR="000062A7" w:rsidRPr="00CC4516" w:rsidRDefault="000062A7" w:rsidP="00DA6E60">
            <w:pPr>
              <w:pStyle w:val="MainText"/>
              <w:spacing w:after="120" w:line="240" w:lineRule="auto"/>
              <w:jc w:val="both"/>
              <w:rPr>
                <w:rFonts w:ascii="Arial" w:hAnsi="Arial" w:cs="Arial"/>
                <w:szCs w:val="22"/>
              </w:rPr>
            </w:pPr>
            <w:r w:rsidRPr="00CC4516">
              <w:rPr>
                <w:rFonts w:ascii="Arial" w:hAnsi="Arial" w:cs="Arial"/>
                <w:szCs w:val="22"/>
              </w:rPr>
              <w:t>Principal Negotiating Officer</w:t>
            </w:r>
          </w:p>
        </w:tc>
        <w:tc>
          <w:tcPr>
            <w:tcW w:w="3456" w:type="dxa"/>
          </w:tcPr>
          <w:p w14:paraId="6E6F0B68" w14:textId="77777777" w:rsidR="000062A7" w:rsidRPr="00CC4516" w:rsidRDefault="00B72A7F" w:rsidP="00DA6E60">
            <w:pPr>
              <w:pStyle w:val="MainText"/>
              <w:spacing w:after="120" w:line="240" w:lineRule="auto"/>
              <w:jc w:val="both"/>
              <w:rPr>
                <w:rFonts w:ascii="Arial" w:hAnsi="Arial" w:cs="Arial"/>
                <w:szCs w:val="22"/>
              </w:rPr>
            </w:pPr>
            <w:r w:rsidRPr="00CC4516">
              <w:rPr>
                <w:rFonts w:ascii="Arial" w:hAnsi="Arial" w:cs="Arial"/>
                <w:szCs w:val="22"/>
              </w:rPr>
              <w:t>Fire Pensions A</w:t>
            </w:r>
            <w:r w:rsidR="000062A7" w:rsidRPr="00CC4516">
              <w:rPr>
                <w:rFonts w:ascii="Arial" w:hAnsi="Arial" w:cs="Arial"/>
                <w:szCs w:val="22"/>
              </w:rPr>
              <w:t>dviser</w:t>
            </w:r>
          </w:p>
        </w:tc>
      </w:tr>
      <w:tr w:rsidR="000062A7" w:rsidRPr="00CC4516" w14:paraId="722F25D7" w14:textId="77777777" w:rsidTr="00956074">
        <w:trPr>
          <w:trHeight w:val="410"/>
        </w:trPr>
        <w:tc>
          <w:tcPr>
            <w:tcW w:w="2271" w:type="dxa"/>
          </w:tcPr>
          <w:p w14:paraId="156C370B" w14:textId="77777777" w:rsidR="000062A7" w:rsidRPr="00CC4516" w:rsidRDefault="000062A7" w:rsidP="00DA6E60">
            <w:pPr>
              <w:pStyle w:val="MainText"/>
              <w:spacing w:after="120" w:line="240" w:lineRule="auto"/>
              <w:jc w:val="both"/>
              <w:rPr>
                <w:rFonts w:ascii="Arial" w:hAnsi="Arial" w:cs="Arial"/>
                <w:b/>
                <w:szCs w:val="22"/>
              </w:rPr>
            </w:pPr>
            <w:r w:rsidRPr="00CC4516">
              <w:rPr>
                <w:rFonts w:ascii="Arial" w:hAnsi="Arial" w:cs="Arial"/>
                <w:b/>
                <w:szCs w:val="22"/>
              </w:rPr>
              <w:t>Phone no:</w:t>
            </w:r>
          </w:p>
        </w:tc>
        <w:tc>
          <w:tcPr>
            <w:tcW w:w="3456" w:type="dxa"/>
          </w:tcPr>
          <w:p w14:paraId="73884FC0" w14:textId="77777777" w:rsidR="000062A7" w:rsidRPr="00CC4516" w:rsidRDefault="000062A7" w:rsidP="00DA6E60">
            <w:pPr>
              <w:pStyle w:val="MainText"/>
              <w:spacing w:after="120" w:line="240" w:lineRule="auto"/>
              <w:jc w:val="both"/>
              <w:rPr>
                <w:rFonts w:ascii="Arial" w:hAnsi="Arial" w:cs="Arial"/>
                <w:szCs w:val="22"/>
              </w:rPr>
            </w:pPr>
            <w:r w:rsidRPr="00CC4516">
              <w:rPr>
                <w:rFonts w:ascii="Arial" w:hAnsi="Arial" w:cs="Arial"/>
                <w:szCs w:val="22"/>
              </w:rPr>
              <w:t>020 7187 7335</w:t>
            </w:r>
          </w:p>
        </w:tc>
        <w:tc>
          <w:tcPr>
            <w:tcW w:w="3456" w:type="dxa"/>
          </w:tcPr>
          <w:p w14:paraId="4F685FC7" w14:textId="77777777" w:rsidR="000062A7" w:rsidRPr="00CC4516" w:rsidRDefault="000062A7" w:rsidP="00DA6E60">
            <w:pPr>
              <w:pStyle w:val="MainText"/>
              <w:spacing w:after="120" w:line="240" w:lineRule="auto"/>
              <w:jc w:val="both"/>
              <w:rPr>
                <w:rFonts w:ascii="Arial" w:hAnsi="Arial" w:cs="Arial"/>
                <w:szCs w:val="22"/>
              </w:rPr>
            </w:pPr>
            <w:r w:rsidRPr="00CC4516">
              <w:rPr>
                <w:rFonts w:ascii="Arial" w:hAnsi="Arial" w:cs="Arial"/>
                <w:szCs w:val="22"/>
              </w:rPr>
              <w:t xml:space="preserve">020 </w:t>
            </w:r>
            <w:r w:rsidR="00B72A7F" w:rsidRPr="00CC4516">
              <w:rPr>
                <w:rFonts w:ascii="Arial" w:hAnsi="Arial" w:cs="Arial"/>
                <w:color w:val="000000"/>
                <w:szCs w:val="22"/>
              </w:rPr>
              <w:t>7664 3189</w:t>
            </w:r>
            <w:r w:rsidRPr="00CC4516">
              <w:rPr>
                <w:rFonts w:ascii="Arial" w:hAnsi="Arial" w:cs="Arial"/>
                <w:szCs w:val="22"/>
              </w:rPr>
              <w:t xml:space="preserve"> </w:t>
            </w:r>
          </w:p>
        </w:tc>
      </w:tr>
      <w:tr w:rsidR="000062A7" w:rsidRPr="00CC4516" w14:paraId="20B4F97C" w14:textId="77777777" w:rsidTr="00956074">
        <w:trPr>
          <w:trHeight w:val="394"/>
        </w:trPr>
        <w:tc>
          <w:tcPr>
            <w:tcW w:w="2271" w:type="dxa"/>
          </w:tcPr>
          <w:p w14:paraId="15CB8D10" w14:textId="77777777" w:rsidR="000062A7" w:rsidRPr="00CC4516" w:rsidRDefault="000062A7" w:rsidP="00DA6E60">
            <w:pPr>
              <w:pStyle w:val="MainText"/>
              <w:spacing w:after="120" w:line="240" w:lineRule="auto"/>
              <w:jc w:val="both"/>
              <w:rPr>
                <w:rFonts w:ascii="Arial" w:hAnsi="Arial" w:cs="Arial"/>
                <w:b/>
                <w:szCs w:val="22"/>
              </w:rPr>
            </w:pPr>
            <w:r w:rsidRPr="00CC4516">
              <w:rPr>
                <w:rFonts w:ascii="Arial" w:hAnsi="Arial" w:cs="Arial"/>
                <w:b/>
                <w:szCs w:val="22"/>
              </w:rPr>
              <w:t>E-mail:</w:t>
            </w:r>
          </w:p>
        </w:tc>
        <w:tc>
          <w:tcPr>
            <w:tcW w:w="3456" w:type="dxa"/>
          </w:tcPr>
          <w:p w14:paraId="3CEF5E47" w14:textId="77777777" w:rsidR="000062A7" w:rsidRPr="00CC4516" w:rsidRDefault="000062A7" w:rsidP="00DA6E60">
            <w:pPr>
              <w:pStyle w:val="MainText"/>
              <w:spacing w:after="120" w:line="240" w:lineRule="auto"/>
              <w:jc w:val="both"/>
              <w:rPr>
                <w:rFonts w:ascii="Arial" w:hAnsi="Arial" w:cs="Arial"/>
                <w:szCs w:val="22"/>
              </w:rPr>
            </w:pPr>
            <w:r w:rsidRPr="00CC4516">
              <w:rPr>
                <w:rFonts w:ascii="Arial" w:hAnsi="Arial" w:cs="Arial"/>
                <w:szCs w:val="22"/>
              </w:rPr>
              <w:t>gill.gittins@local.gov.uk</w:t>
            </w:r>
          </w:p>
        </w:tc>
        <w:tc>
          <w:tcPr>
            <w:tcW w:w="3456" w:type="dxa"/>
          </w:tcPr>
          <w:p w14:paraId="46009DDD" w14:textId="77777777" w:rsidR="000062A7" w:rsidRPr="00CC4516" w:rsidRDefault="00B72A7F" w:rsidP="00DA6E60">
            <w:pPr>
              <w:pStyle w:val="MainText"/>
              <w:spacing w:after="120" w:line="240" w:lineRule="auto"/>
              <w:jc w:val="both"/>
              <w:rPr>
                <w:rFonts w:ascii="Arial" w:hAnsi="Arial" w:cs="Arial"/>
                <w:szCs w:val="22"/>
              </w:rPr>
            </w:pPr>
            <w:r w:rsidRPr="00CC4516">
              <w:rPr>
                <w:rFonts w:ascii="Arial" w:hAnsi="Arial" w:cs="Arial"/>
                <w:szCs w:val="22"/>
              </w:rPr>
              <w:t>clair.alcock@local.gov.uk</w:t>
            </w:r>
          </w:p>
        </w:tc>
      </w:tr>
      <w:tr w:rsidR="00465802" w:rsidRPr="00CC4516" w14:paraId="37784A30" w14:textId="77777777" w:rsidTr="00956074">
        <w:trPr>
          <w:trHeight w:val="410"/>
        </w:trPr>
        <w:tc>
          <w:tcPr>
            <w:tcW w:w="2271" w:type="dxa"/>
          </w:tcPr>
          <w:p w14:paraId="59D3C77D" w14:textId="77777777" w:rsidR="00465802" w:rsidRPr="00CC4516" w:rsidRDefault="00465802" w:rsidP="00465802">
            <w:pPr>
              <w:pStyle w:val="MainText"/>
              <w:spacing w:after="120" w:line="240" w:lineRule="auto"/>
              <w:jc w:val="both"/>
              <w:rPr>
                <w:rFonts w:ascii="Arial" w:hAnsi="Arial" w:cs="Arial"/>
                <w:b/>
                <w:szCs w:val="22"/>
              </w:rPr>
            </w:pPr>
          </w:p>
        </w:tc>
        <w:tc>
          <w:tcPr>
            <w:tcW w:w="3456" w:type="dxa"/>
          </w:tcPr>
          <w:p w14:paraId="2C98DE27" w14:textId="77777777" w:rsidR="00465802" w:rsidRPr="00CC4516" w:rsidRDefault="00465802" w:rsidP="00465802">
            <w:pPr>
              <w:pStyle w:val="MainText"/>
              <w:tabs>
                <w:tab w:val="left" w:pos="4578"/>
              </w:tabs>
              <w:spacing w:after="120" w:line="240" w:lineRule="auto"/>
              <w:jc w:val="both"/>
              <w:rPr>
                <w:rFonts w:ascii="Arial" w:hAnsi="Arial" w:cs="Arial"/>
                <w:szCs w:val="22"/>
              </w:rPr>
            </w:pPr>
          </w:p>
        </w:tc>
        <w:tc>
          <w:tcPr>
            <w:tcW w:w="3456" w:type="dxa"/>
          </w:tcPr>
          <w:p w14:paraId="7F8F4C8A" w14:textId="77777777" w:rsidR="00465802" w:rsidRPr="00CC4516" w:rsidRDefault="00465802" w:rsidP="00465802">
            <w:pPr>
              <w:pStyle w:val="MainText"/>
              <w:tabs>
                <w:tab w:val="left" w:pos="4578"/>
              </w:tabs>
              <w:spacing w:after="120" w:line="240" w:lineRule="auto"/>
              <w:jc w:val="both"/>
              <w:rPr>
                <w:rFonts w:ascii="Arial" w:hAnsi="Arial" w:cs="Arial"/>
                <w:szCs w:val="22"/>
              </w:rPr>
            </w:pPr>
          </w:p>
        </w:tc>
      </w:tr>
      <w:tr w:rsidR="00465802" w:rsidRPr="00BA10C9" w14:paraId="4B3C3A73" w14:textId="77777777" w:rsidTr="00956074">
        <w:trPr>
          <w:trHeight w:val="394"/>
        </w:trPr>
        <w:tc>
          <w:tcPr>
            <w:tcW w:w="2271" w:type="dxa"/>
          </w:tcPr>
          <w:p w14:paraId="1CC2D740" w14:textId="77777777" w:rsidR="00465802" w:rsidRPr="00BA10C9" w:rsidRDefault="00465802" w:rsidP="00DA6E60">
            <w:pPr>
              <w:pStyle w:val="MainText"/>
              <w:spacing w:after="120" w:line="240" w:lineRule="auto"/>
              <w:jc w:val="both"/>
              <w:rPr>
                <w:rFonts w:ascii="Arial" w:hAnsi="Arial" w:cs="Arial"/>
                <w:b/>
                <w:sz w:val="24"/>
                <w:szCs w:val="24"/>
              </w:rPr>
            </w:pPr>
          </w:p>
        </w:tc>
        <w:tc>
          <w:tcPr>
            <w:tcW w:w="3456" w:type="dxa"/>
          </w:tcPr>
          <w:p w14:paraId="79C8747C" w14:textId="77777777" w:rsidR="00465802" w:rsidRPr="00BA10C9" w:rsidRDefault="00465802" w:rsidP="00DA6E60">
            <w:pPr>
              <w:pStyle w:val="MainText"/>
              <w:spacing w:after="120" w:line="240" w:lineRule="auto"/>
              <w:jc w:val="both"/>
              <w:rPr>
                <w:rFonts w:ascii="Arial" w:hAnsi="Arial" w:cs="Arial"/>
                <w:sz w:val="24"/>
                <w:szCs w:val="24"/>
              </w:rPr>
            </w:pPr>
          </w:p>
        </w:tc>
        <w:tc>
          <w:tcPr>
            <w:tcW w:w="3456" w:type="dxa"/>
          </w:tcPr>
          <w:p w14:paraId="1A29A8C5" w14:textId="77777777" w:rsidR="00465802" w:rsidRPr="00BA10C9" w:rsidRDefault="00465802" w:rsidP="00DA6E60">
            <w:pPr>
              <w:pStyle w:val="MainText"/>
              <w:spacing w:after="120" w:line="240" w:lineRule="auto"/>
              <w:jc w:val="both"/>
              <w:rPr>
                <w:rFonts w:ascii="Arial" w:hAnsi="Arial" w:cs="Arial"/>
                <w:sz w:val="24"/>
                <w:szCs w:val="24"/>
              </w:rPr>
            </w:pPr>
          </w:p>
        </w:tc>
      </w:tr>
      <w:tr w:rsidR="00465802" w:rsidRPr="00BA10C9" w14:paraId="3246CD35" w14:textId="77777777" w:rsidTr="00956074">
        <w:trPr>
          <w:trHeight w:val="394"/>
        </w:trPr>
        <w:tc>
          <w:tcPr>
            <w:tcW w:w="2271" w:type="dxa"/>
          </w:tcPr>
          <w:p w14:paraId="609B200C" w14:textId="77777777" w:rsidR="00465802" w:rsidRPr="00BA10C9" w:rsidRDefault="00465802" w:rsidP="00DA6E60">
            <w:pPr>
              <w:pStyle w:val="MainText"/>
              <w:spacing w:after="120" w:line="240" w:lineRule="auto"/>
              <w:jc w:val="both"/>
              <w:rPr>
                <w:rFonts w:ascii="Arial" w:hAnsi="Arial" w:cs="Arial"/>
                <w:b/>
                <w:sz w:val="24"/>
                <w:szCs w:val="24"/>
              </w:rPr>
            </w:pPr>
          </w:p>
        </w:tc>
        <w:tc>
          <w:tcPr>
            <w:tcW w:w="3456" w:type="dxa"/>
          </w:tcPr>
          <w:p w14:paraId="3A295722" w14:textId="77777777" w:rsidR="00465802" w:rsidRPr="00BA10C9" w:rsidRDefault="00465802" w:rsidP="00DA6E60">
            <w:pPr>
              <w:pStyle w:val="MainText"/>
              <w:spacing w:after="120" w:line="240" w:lineRule="auto"/>
              <w:jc w:val="both"/>
              <w:rPr>
                <w:rFonts w:ascii="Arial" w:hAnsi="Arial" w:cs="Arial"/>
                <w:sz w:val="24"/>
                <w:szCs w:val="24"/>
              </w:rPr>
            </w:pPr>
          </w:p>
        </w:tc>
        <w:tc>
          <w:tcPr>
            <w:tcW w:w="3456" w:type="dxa"/>
          </w:tcPr>
          <w:p w14:paraId="5F0086F8" w14:textId="77777777" w:rsidR="00465802" w:rsidRPr="00BA10C9" w:rsidRDefault="00465802" w:rsidP="00DA6E60">
            <w:pPr>
              <w:pStyle w:val="MainText"/>
              <w:spacing w:after="120" w:line="240" w:lineRule="auto"/>
              <w:jc w:val="both"/>
              <w:rPr>
                <w:rFonts w:ascii="Arial" w:hAnsi="Arial" w:cs="Arial"/>
                <w:sz w:val="24"/>
                <w:szCs w:val="24"/>
              </w:rPr>
            </w:pPr>
          </w:p>
        </w:tc>
      </w:tr>
    </w:tbl>
    <w:p w14:paraId="613B406B" w14:textId="77777777" w:rsidR="00956074" w:rsidRPr="00BA10C9" w:rsidRDefault="00956074" w:rsidP="003B6B91">
      <w:pPr>
        <w:pStyle w:val="ListParagraph"/>
        <w:ind w:left="567" w:hanging="567"/>
        <w:rPr>
          <w:rFonts w:ascii="Arial" w:hAnsi="Arial" w:cs="Arial"/>
          <w:b/>
          <w:sz w:val="24"/>
          <w:szCs w:val="24"/>
        </w:rPr>
      </w:pPr>
    </w:p>
    <w:p w14:paraId="392344BA" w14:textId="77777777" w:rsidR="00956074" w:rsidRPr="00BA10C9" w:rsidRDefault="00956074" w:rsidP="003B6B91">
      <w:pPr>
        <w:pStyle w:val="ListParagraph"/>
        <w:ind w:left="567" w:hanging="567"/>
        <w:rPr>
          <w:rFonts w:ascii="Arial" w:hAnsi="Arial" w:cs="Arial"/>
          <w:b/>
          <w:sz w:val="24"/>
          <w:szCs w:val="24"/>
        </w:rPr>
      </w:pPr>
    </w:p>
    <w:p w14:paraId="19107714" w14:textId="77777777" w:rsidR="00956074" w:rsidRPr="00BA10C9" w:rsidRDefault="00956074" w:rsidP="003B6B91">
      <w:pPr>
        <w:pStyle w:val="ListParagraph"/>
        <w:ind w:left="567" w:hanging="567"/>
        <w:rPr>
          <w:rFonts w:ascii="Arial" w:hAnsi="Arial" w:cs="Arial"/>
          <w:b/>
          <w:sz w:val="24"/>
          <w:szCs w:val="24"/>
        </w:rPr>
      </w:pPr>
    </w:p>
    <w:p w14:paraId="27B4F623" w14:textId="77777777" w:rsidR="00956074" w:rsidRPr="00BA10C9" w:rsidRDefault="00956074" w:rsidP="003B6B91">
      <w:pPr>
        <w:pStyle w:val="ListParagraph"/>
        <w:ind w:left="567" w:hanging="567"/>
        <w:rPr>
          <w:rFonts w:ascii="Arial" w:hAnsi="Arial" w:cs="Arial"/>
          <w:b/>
          <w:sz w:val="24"/>
          <w:szCs w:val="24"/>
        </w:rPr>
      </w:pPr>
    </w:p>
    <w:p w14:paraId="64535535" w14:textId="77777777" w:rsidR="00956074" w:rsidRPr="00BA10C9" w:rsidRDefault="00956074" w:rsidP="003B6B91">
      <w:pPr>
        <w:pStyle w:val="ListParagraph"/>
        <w:ind w:left="567" w:hanging="567"/>
        <w:rPr>
          <w:rFonts w:ascii="Arial" w:hAnsi="Arial" w:cs="Arial"/>
          <w:b/>
          <w:sz w:val="24"/>
          <w:szCs w:val="24"/>
        </w:rPr>
      </w:pPr>
    </w:p>
    <w:p w14:paraId="6BF8D0CE" w14:textId="77777777" w:rsidR="004F4241" w:rsidRPr="00BA10C9" w:rsidRDefault="004F4241">
      <w:pPr>
        <w:rPr>
          <w:rFonts w:ascii="Arial" w:hAnsi="Arial" w:cs="Arial"/>
          <w:b/>
          <w:sz w:val="24"/>
          <w:szCs w:val="24"/>
        </w:rPr>
      </w:pPr>
      <w:r w:rsidRPr="00BA10C9">
        <w:rPr>
          <w:rFonts w:ascii="Arial" w:hAnsi="Arial" w:cs="Arial"/>
          <w:b/>
          <w:sz w:val="24"/>
          <w:szCs w:val="24"/>
        </w:rPr>
        <w:br w:type="page"/>
      </w:r>
    </w:p>
    <w:p w14:paraId="436F6705" w14:textId="77777777" w:rsidR="00CC4516" w:rsidRPr="00CC4516" w:rsidRDefault="00CC4516" w:rsidP="0054356B">
      <w:pPr>
        <w:ind w:left="567" w:hanging="567"/>
        <w:rPr>
          <w:rFonts w:ascii="Arial" w:hAnsi="Arial" w:cs="Arial"/>
          <w:b/>
          <w:sz w:val="28"/>
          <w:szCs w:val="28"/>
        </w:rPr>
      </w:pPr>
      <w:r>
        <w:rPr>
          <w:rFonts w:ascii="Arial" w:hAnsi="Arial" w:cs="Arial"/>
          <w:b/>
          <w:sz w:val="28"/>
          <w:szCs w:val="28"/>
        </w:rPr>
        <w:lastRenderedPageBreak/>
        <w:t>Workforce report</w:t>
      </w:r>
    </w:p>
    <w:p w14:paraId="23D01225" w14:textId="77777777" w:rsidR="00CC4516" w:rsidRDefault="00CC4516" w:rsidP="0054356B">
      <w:pPr>
        <w:ind w:left="567" w:hanging="567"/>
        <w:rPr>
          <w:rFonts w:ascii="Arial" w:hAnsi="Arial" w:cs="Arial"/>
          <w:b/>
          <w:sz w:val="24"/>
          <w:szCs w:val="24"/>
        </w:rPr>
      </w:pPr>
    </w:p>
    <w:p w14:paraId="0054DB6E" w14:textId="77777777" w:rsidR="0054356B" w:rsidRPr="00CC4516" w:rsidRDefault="00CC4516" w:rsidP="0054356B">
      <w:pPr>
        <w:ind w:left="567" w:hanging="567"/>
        <w:rPr>
          <w:rFonts w:ascii="Arial" w:hAnsi="Arial" w:cs="Arial"/>
          <w:b/>
        </w:rPr>
      </w:pPr>
      <w:r w:rsidRPr="00CC4516">
        <w:rPr>
          <w:rFonts w:ascii="Arial" w:hAnsi="Arial" w:cs="Arial"/>
          <w:b/>
        </w:rPr>
        <w:t>Pensions</w:t>
      </w:r>
    </w:p>
    <w:p w14:paraId="5272B119" w14:textId="77777777" w:rsidR="0054356B" w:rsidRPr="00CC4516" w:rsidRDefault="0054356B" w:rsidP="0054356B">
      <w:pPr>
        <w:jc w:val="both"/>
        <w:rPr>
          <w:rFonts w:ascii="Arial" w:hAnsi="Arial" w:cs="Arial"/>
          <w:lang w:val="en-US"/>
        </w:rPr>
      </w:pPr>
    </w:p>
    <w:p w14:paraId="1500F762" w14:textId="77777777" w:rsidR="0054356B" w:rsidRPr="00CC4516" w:rsidRDefault="0054356B" w:rsidP="0054356B">
      <w:pPr>
        <w:jc w:val="both"/>
        <w:rPr>
          <w:rFonts w:ascii="Arial" w:hAnsi="Arial" w:cs="Arial"/>
          <w:b/>
          <w:lang w:val="en-US"/>
        </w:rPr>
      </w:pPr>
      <w:r w:rsidRPr="00CC4516">
        <w:rPr>
          <w:rFonts w:ascii="Arial" w:hAnsi="Arial" w:cs="Arial"/>
          <w:b/>
          <w:lang w:val="en-US"/>
        </w:rPr>
        <w:t>Scheme Advisory Board</w:t>
      </w:r>
    </w:p>
    <w:p w14:paraId="611F30A8" w14:textId="77777777" w:rsidR="0054356B" w:rsidRPr="00CC4516" w:rsidRDefault="0054356B" w:rsidP="0054356B">
      <w:pPr>
        <w:jc w:val="both"/>
        <w:rPr>
          <w:rFonts w:ascii="Arial" w:hAnsi="Arial" w:cs="Arial"/>
          <w:i/>
          <w:lang w:val="en-US"/>
        </w:rPr>
      </w:pPr>
    </w:p>
    <w:p w14:paraId="049A96DE" w14:textId="77777777" w:rsidR="0054356B" w:rsidRPr="00CC4516" w:rsidRDefault="0054356B" w:rsidP="0054356B">
      <w:pPr>
        <w:pStyle w:val="ListParagraph"/>
        <w:numPr>
          <w:ilvl w:val="0"/>
          <w:numId w:val="8"/>
        </w:numPr>
        <w:ind w:left="567" w:hanging="567"/>
        <w:jc w:val="both"/>
      </w:pPr>
      <w:r w:rsidRPr="00CC4516">
        <w:rPr>
          <w:rFonts w:ascii="Arial" w:hAnsi="Arial" w:cs="Arial"/>
        </w:rPr>
        <w:t>Malcolm Eastwood attended the Fire Commission on 13 October, to give an update on the work of the board.  Members were also told about free</w:t>
      </w:r>
      <w:r w:rsidR="005D5296" w:rsidRPr="00CC4516">
        <w:rPr>
          <w:rFonts w:ascii="Arial" w:hAnsi="Arial" w:cs="Arial"/>
        </w:rPr>
        <w:t>-</w:t>
      </w:r>
      <w:r w:rsidRPr="00CC4516">
        <w:rPr>
          <w:rFonts w:ascii="Arial" w:hAnsi="Arial" w:cs="Arial"/>
        </w:rPr>
        <w:t>to</w:t>
      </w:r>
      <w:r w:rsidR="005D5296" w:rsidRPr="00CC4516">
        <w:rPr>
          <w:rFonts w:ascii="Arial" w:hAnsi="Arial" w:cs="Arial"/>
        </w:rPr>
        <w:t>-</w:t>
      </w:r>
      <w:r w:rsidRPr="00CC4516">
        <w:rPr>
          <w:rFonts w:ascii="Arial" w:hAnsi="Arial" w:cs="Arial"/>
        </w:rPr>
        <w:t>attend tax seminars,</w:t>
      </w:r>
      <w:r w:rsidR="00CC4516" w:rsidRPr="00CC4516">
        <w:rPr>
          <w:rFonts w:ascii="Arial" w:hAnsi="Arial" w:cs="Arial"/>
        </w:rPr>
        <w:t xml:space="preserve"> </w:t>
      </w:r>
      <w:r w:rsidRPr="00CC4516">
        <w:rPr>
          <w:rFonts w:ascii="Arial" w:hAnsi="Arial" w:cs="Arial"/>
        </w:rPr>
        <w:t>that had been commissioned by the Scheme Advisory Board</w:t>
      </w:r>
      <w:r w:rsidR="00CC4516" w:rsidRPr="00CC4516">
        <w:rPr>
          <w:rFonts w:ascii="Arial" w:hAnsi="Arial" w:cs="Arial"/>
        </w:rPr>
        <w:t xml:space="preserve"> (SAB)</w:t>
      </w:r>
      <w:r w:rsidRPr="00CC4516">
        <w:rPr>
          <w:rFonts w:ascii="Arial" w:hAnsi="Arial" w:cs="Arial"/>
        </w:rPr>
        <w:t xml:space="preserve"> in partnership with the Police Pension Scheme.  Details of these events can be found </w:t>
      </w:r>
      <w:hyperlink r:id="rId11" w:history="1">
        <w:r w:rsidRPr="00CC4516">
          <w:rPr>
            <w:rStyle w:val="Hyperlink"/>
            <w:rFonts w:ascii="Arial" w:hAnsi="Arial" w:cs="Arial"/>
          </w:rPr>
          <w:t>here</w:t>
        </w:r>
      </w:hyperlink>
      <w:r w:rsidRPr="00CC4516">
        <w:rPr>
          <w:rFonts w:ascii="Arial" w:hAnsi="Arial" w:cs="Arial"/>
        </w:rPr>
        <w:t>. Members were encouraged to champion fire pensions to scheme members, and ensure that they were managing their delegation of scheme managers where appropriate. Members should be aware of the risks involved but should also proactively support their local pensions boards.</w:t>
      </w:r>
      <w:r w:rsidRPr="00CC4516">
        <w:t xml:space="preserve"> </w:t>
      </w:r>
    </w:p>
    <w:p w14:paraId="399A8376" w14:textId="77777777" w:rsidR="0054356B" w:rsidRPr="00CC4516" w:rsidRDefault="0054356B" w:rsidP="0054356B">
      <w:pPr>
        <w:pStyle w:val="ListParagraph"/>
        <w:ind w:left="567" w:hanging="567"/>
        <w:jc w:val="both"/>
        <w:rPr>
          <w:rFonts w:ascii="Arial" w:hAnsi="Arial" w:cs="Arial"/>
        </w:rPr>
      </w:pPr>
    </w:p>
    <w:p w14:paraId="77B22446" w14:textId="77777777" w:rsidR="0054356B" w:rsidRPr="00CC4516" w:rsidRDefault="00CC4516" w:rsidP="00CC4516">
      <w:pPr>
        <w:pStyle w:val="ListParagraph"/>
        <w:numPr>
          <w:ilvl w:val="0"/>
          <w:numId w:val="8"/>
        </w:numPr>
        <w:ind w:left="567" w:hanging="567"/>
        <w:jc w:val="both"/>
        <w:rPr>
          <w:rFonts w:ascii="Arial" w:hAnsi="Arial" w:cs="Arial"/>
        </w:rPr>
      </w:pPr>
      <w:r w:rsidRPr="00CC4516">
        <w:rPr>
          <w:rFonts w:ascii="Arial" w:hAnsi="Arial" w:cs="Arial"/>
        </w:rPr>
        <w:t xml:space="preserve">New members, Fiona Twycross AM (Labour) and Cllr Rogers Phillips (Conservative) </w:t>
      </w:r>
      <w:r w:rsidR="0054356B" w:rsidRPr="00CC4516">
        <w:rPr>
          <w:rFonts w:ascii="Arial" w:hAnsi="Arial" w:cs="Arial"/>
        </w:rPr>
        <w:t xml:space="preserve">have been welcomed to the board, and the Independent Group nomination for Cllr Ian Stephens has been passed to the </w:t>
      </w:r>
      <w:r w:rsidRPr="00CC4516">
        <w:rPr>
          <w:rFonts w:ascii="Arial" w:hAnsi="Arial" w:cs="Arial"/>
        </w:rPr>
        <w:t>M</w:t>
      </w:r>
      <w:r w:rsidR="0054356B" w:rsidRPr="00CC4516">
        <w:rPr>
          <w:rFonts w:ascii="Arial" w:hAnsi="Arial" w:cs="Arial"/>
        </w:rPr>
        <w:t>inister.</w:t>
      </w:r>
    </w:p>
    <w:p w14:paraId="08268C8A" w14:textId="77777777" w:rsidR="0054356B" w:rsidRPr="00CC4516" w:rsidRDefault="0054356B" w:rsidP="00BA10C9">
      <w:pPr>
        <w:ind w:left="567" w:hanging="567"/>
        <w:jc w:val="both"/>
        <w:rPr>
          <w:rFonts w:ascii="Arial" w:hAnsi="Arial" w:cs="Arial"/>
          <w:i/>
        </w:rPr>
      </w:pPr>
    </w:p>
    <w:p w14:paraId="49EA4E64" w14:textId="77777777" w:rsidR="0054356B" w:rsidRPr="00CC4516" w:rsidRDefault="0054356B" w:rsidP="00BA10C9">
      <w:pPr>
        <w:pStyle w:val="ListParagraph"/>
        <w:numPr>
          <w:ilvl w:val="0"/>
          <w:numId w:val="8"/>
        </w:numPr>
        <w:ind w:left="567" w:hanging="567"/>
        <w:jc w:val="both"/>
        <w:rPr>
          <w:rFonts w:ascii="Arial" w:hAnsi="Arial" w:cs="Arial"/>
          <w:lang w:val="en-US"/>
        </w:rPr>
      </w:pPr>
      <w:r w:rsidRPr="00CC4516">
        <w:rPr>
          <w:rFonts w:ascii="Arial" w:hAnsi="Arial" w:cs="Arial"/>
          <w:lang w:val="en-US"/>
        </w:rPr>
        <w:t xml:space="preserve">The Home Office consulted </w:t>
      </w:r>
      <w:r w:rsidR="00CC4516" w:rsidRPr="00CC4516">
        <w:rPr>
          <w:rFonts w:ascii="Arial" w:hAnsi="Arial" w:cs="Arial"/>
          <w:lang w:val="en-US"/>
        </w:rPr>
        <w:t xml:space="preserve">the </w:t>
      </w:r>
      <w:r w:rsidRPr="00CC4516">
        <w:rPr>
          <w:rFonts w:ascii="Arial" w:hAnsi="Arial" w:cs="Arial"/>
          <w:lang w:val="en-US"/>
        </w:rPr>
        <w:t>SAB on their views on industry specific assumptions used in the 2016 valuation, which will form the GAD recommendations to government.  The SAB engaged an actuarial firm to provide an independent review in order to form their response.</w:t>
      </w:r>
    </w:p>
    <w:p w14:paraId="3CCE3E60" w14:textId="77777777" w:rsidR="0054356B" w:rsidRPr="00CC4516" w:rsidRDefault="0054356B" w:rsidP="00BA10C9">
      <w:pPr>
        <w:pStyle w:val="ListParagraph"/>
        <w:ind w:left="567" w:hanging="567"/>
        <w:jc w:val="both"/>
        <w:rPr>
          <w:rFonts w:ascii="Arial" w:hAnsi="Arial" w:cs="Arial"/>
          <w:lang w:val="en-US"/>
        </w:rPr>
      </w:pPr>
    </w:p>
    <w:p w14:paraId="4F3BBFDE" w14:textId="77777777" w:rsidR="00CC4516" w:rsidRPr="00CC4516" w:rsidRDefault="0054356B" w:rsidP="00CC4516">
      <w:pPr>
        <w:pStyle w:val="ListParagraph"/>
        <w:numPr>
          <w:ilvl w:val="0"/>
          <w:numId w:val="8"/>
        </w:numPr>
        <w:ind w:left="567" w:hanging="567"/>
        <w:jc w:val="both"/>
        <w:rPr>
          <w:rFonts w:ascii="Arial" w:hAnsi="Arial" w:cs="Arial"/>
          <w:lang w:val="en-US"/>
        </w:rPr>
      </w:pPr>
      <w:r w:rsidRPr="00CC4516">
        <w:rPr>
          <w:rFonts w:ascii="Arial" w:hAnsi="Arial" w:cs="Arial"/>
          <w:lang w:val="en-US"/>
        </w:rPr>
        <w:t>The 2016 valuation will</w:t>
      </w:r>
      <w:r w:rsidR="00CC4516" w:rsidRPr="00CC4516">
        <w:rPr>
          <w:rFonts w:ascii="Arial" w:hAnsi="Arial" w:cs="Arial"/>
          <w:lang w:val="en-US"/>
        </w:rPr>
        <w:t>:</w:t>
      </w:r>
    </w:p>
    <w:p w14:paraId="423C7D11" w14:textId="77777777" w:rsidR="00CC4516" w:rsidRPr="00CC4516" w:rsidRDefault="00CC4516" w:rsidP="00CC4516">
      <w:pPr>
        <w:pStyle w:val="ListParagraph"/>
        <w:rPr>
          <w:rFonts w:ascii="Arial" w:hAnsi="Arial" w:cs="Arial"/>
          <w:lang w:val="en-US"/>
        </w:rPr>
      </w:pPr>
    </w:p>
    <w:p w14:paraId="2596D1B7" w14:textId="77777777" w:rsidR="0054356B" w:rsidRPr="00CC4516" w:rsidRDefault="0054356B" w:rsidP="00CC4516">
      <w:pPr>
        <w:pStyle w:val="ListParagraph"/>
        <w:numPr>
          <w:ilvl w:val="1"/>
          <w:numId w:val="8"/>
        </w:numPr>
        <w:ind w:hanging="225"/>
        <w:jc w:val="both"/>
        <w:rPr>
          <w:rFonts w:ascii="Arial" w:hAnsi="Arial" w:cs="Arial"/>
          <w:lang w:val="en-US"/>
        </w:rPr>
      </w:pPr>
      <w:r w:rsidRPr="00CC4516">
        <w:rPr>
          <w:rFonts w:ascii="Arial" w:hAnsi="Arial" w:cs="Arial"/>
          <w:lang w:val="en-US"/>
        </w:rPr>
        <w:t>Calculate the employer contribution rate from 2019 to 2013</w:t>
      </w:r>
      <w:r w:rsidR="00CC4516" w:rsidRPr="00CC4516">
        <w:rPr>
          <w:rFonts w:ascii="Arial" w:hAnsi="Arial" w:cs="Arial"/>
          <w:lang w:val="en-US"/>
        </w:rPr>
        <w:t>.</w:t>
      </w:r>
    </w:p>
    <w:p w14:paraId="25F81979" w14:textId="77777777" w:rsidR="00CC4516" w:rsidRPr="00CC4516" w:rsidRDefault="00CC4516" w:rsidP="00CC4516">
      <w:pPr>
        <w:pStyle w:val="ListParagraph"/>
        <w:ind w:left="792"/>
        <w:jc w:val="both"/>
        <w:rPr>
          <w:rFonts w:ascii="Arial" w:hAnsi="Arial" w:cs="Arial"/>
          <w:lang w:val="en-US"/>
        </w:rPr>
      </w:pPr>
    </w:p>
    <w:p w14:paraId="39F5EF14" w14:textId="77777777" w:rsidR="00CC4516" w:rsidRPr="00CC4516" w:rsidRDefault="0054356B" w:rsidP="00CC4516">
      <w:pPr>
        <w:pStyle w:val="ListParagraph"/>
        <w:numPr>
          <w:ilvl w:val="1"/>
          <w:numId w:val="8"/>
        </w:numPr>
        <w:ind w:hanging="225"/>
        <w:jc w:val="both"/>
        <w:rPr>
          <w:rFonts w:ascii="Arial" w:hAnsi="Arial" w:cs="Arial"/>
          <w:lang w:val="en-US"/>
        </w:rPr>
      </w:pPr>
      <w:r w:rsidRPr="00CC4516">
        <w:rPr>
          <w:rFonts w:ascii="Arial" w:hAnsi="Arial" w:cs="Arial"/>
          <w:lang w:val="en-US"/>
        </w:rPr>
        <w:t>Determine whether the cost cap set at 16.8% of pensionable pay has been</w:t>
      </w:r>
    </w:p>
    <w:p w14:paraId="2AE1ADFB" w14:textId="77777777" w:rsidR="0054356B" w:rsidRPr="00CC4516" w:rsidRDefault="0054356B" w:rsidP="00CC4516">
      <w:pPr>
        <w:ind w:left="720" w:firstLine="720"/>
        <w:jc w:val="both"/>
        <w:rPr>
          <w:rFonts w:ascii="Arial" w:hAnsi="Arial" w:cs="Arial"/>
          <w:lang w:val="en-US"/>
        </w:rPr>
      </w:pPr>
      <w:r w:rsidRPr="00CC4516">
        <w:rPr>
          <w:rFonts w:ascii="Arial" w:hAnsi="Arial" w:cs="Arial"/>
          <w:lang w:val="en-US"/>
        </w:rPr>
        <w:t>breached</w:t>
      </w:r>
      <w:r w:rsidR="00CC4516" w:rsidRPr="00CC4516">
        <w:rPr>
          <w:rFonts w:ascii="Arial" w:hAnsi="Arial" w:cs="Arial"/>
          <w:lang w:val="en-US"/>
        </w:rPr>
        <w:t>.</w:t>
      </w:r>
    </w:p>
    <w:p w14:paraId="2EDC3640" w14:textId="77777777" w:rsidR="0054356B" w:rsidRPr="00CC4516" w:rsidRDefault="0054356B" w:rsidP="00BA10C9">
      <w:pPr>
        <w:pStyle w:val="ListParagraph"/>
        <w:ind w:left="567" w:hanging="567"/>
        <w:jc w:val="both"/>
        <w:rPr>
          <w:rFonts w:ascii="Arial" w:hAnsi="Arial" w:cs="Arial"/>
          <w:lang w:val="en-US"/>
        </w:rPr>
      </w:pPr>
    </w:p>
    <w:p w14:paraId="5119F457" w14:textId="77777777" w:rsidR="00CC4516" w:rsidRPr="00CC4516" w:rsidRDefault="00CC4516" w:rsidP="00CC4516">
      <w:pPr>
        <w:pStyle w:val="ListParagraph"/>
        <w:numPr>
          <w:ilvl w:val="0"/>
          <w:numId w:val="8"/>
        </w:numPr>
        <w:ind w:left="284"/>
        <w:jc w:val="both"/>
        <w:rPr>
          <w:rFonts w:ascii="Arial" w:hAnsi="Arial" w:cs="Arial"/>
          <w:lang w:val="en-US"/>
        </w:rPr>
      </w:pPr>
      <w:r w:rsidRPr="00CC4516">
        <w:rPr>
          <w:rFonts w:ascii="Arial" w:hAnsi="Arial" w:cs="Arial"/>
          <w:lang w:val="en-US"/>
        </w:rPr>
        <w:t xml:space="preserve">    </w:t>
      </w:r>
      <w:r w:rsidR="0054356B" w:rsidRPr="00CC4516">
        <w:rPr>
          <w:rFonts w:ascii="Arial" w:hAnsi="Arial" w:cs="Arial"/>
          <w:lang w:val="en-US"/>
        </w:rPr>
        <w:t xml:space="preserve">GAD expect to be able to provide details of any change to employer contributions </w:t>
      </w:r>
      <w:r w:rsidRPr="00CC4516">
        <w:rPr>
          <w:rFonts w:ascii="Arial" w:hAnsi="Arial" w:cs="Arial"/>
          <w:lang w:val="en-US"/>
        </w:rPr>
        <w:t xml:space="preserve"> </w:t>
      </w:r>
    </w:p>
    <w:p w14:paraId="6BBF8532" w14:textId="77777777" w:rsidR="00CC4516" w:rsidRPr="00CC4516" w:rsidRDefault="00CC4516" w:rsidP="00CC4516">
      <w:pPr>
        <w:pStyle w:val="ListParagraph"/>
        <w:ind w:left="284"/>
        <w:jc w:val="both"/>
        <w:rPr>
          <w:rFonts w:ascii="Arial" w:hAnsi="Arial" w:cs="Arial"/>
          <w:lang w:val="en-US"/>
        </w:rPr>
      </w:pPr>
      <w:r w:rsidRPr="00CC4516">
        <w:rPr>
          <w:rFonts w:ascii="Arial" w:hAnsi="Arial" w:cs="Arial"/>
          <w:lang w:val="en-US"/>
        </w:rPr>
        <w:t xml:space="preserve">    </w:t>
      </w:r>
      <w:r w:rsidR="0054356B" w:rsidRPr="00CC4516">
        <w:rPr>
          <w:rFonts w:ascii="Arial" w:hAnsi="Arial" w:cs="Arial"/>
          <w:lang w:val="en-US"/>
        </w:rPr>
        <w:t xml:space="preserve">from April 2019 around April 2018.  It has been highlighted to GAD that this timescale </w:t>
      </w:r>
    </w:p>
    <w:p w14:paraId="2D65B5F8" w14:textId="77777777" w:rsidR="0054356B" w:rsidRPr="00CC4516" w:rsidRDefault="00CC4516" w:rsidP="00CC4516">
      <w:pPr>
        <w:pStyle w:val="ListParagraph"/>
        <w:ind w:left="284"/>
        <w:jc w:val="both"/>
        <w:rPr>
          <w:rFonts w:ascii="Arial" w:hAnsi="Arial" w:cs="Arial"/>
          <w:lang w:val="en-US"/>
        </w:rPr>
      </w:pPr>
      <w:r w:rsidRPr="00CC4516">
        <w:rPr>
          <w:rFonts w:ascii="Arial" w:hAnsi="Arial" w:cs="Arial"/>
          <w:lang w:val="en-US"/>
        </w:rPr>
        <w:t xml:space="preserve">    </w:t>
      </w:r>
      <w:r w:rsidR="0054356B" w:rsidRPr="00CC4516">
        <w:rPr>
          <w:rFonts w:ascii="Arial" w:hAnsi="Arial" w:cs="Arial"/>
          <w:lang w:val="en-US"/>
        </w:rPr>
        <w:t>is unhelpful to Fire &amp; Rescue Authorities mid to long term financial forecasting.</w:t>
      </w:r>
    </w:p>
    <w:p w14:paraId="3202A6AA" w14:textId="77777777" w:rsidR="0054356B" w:rsidRPr="00CC4516" w:rsidRDefault="0054356B" w:rsidP="0054356B">
      <w:pPr>
        <w:ind w:left="567" w:hanging="567"/>
        <w:rPr>
          <w:rFonts w:ascii="Arial" w:hAnsi="Arial" w:cs="Arial"/>
          <w:lang w:val="en-US"/>
        </w:rPr>
      </w:pPr>
    </w:p>
    <w:p w14:paraId="2AC08ABF" w14:textId="77777777" w:rsidR="0054356B" w:rsidRPr="00CC4516" w:rsidRDefault="0054356B" w:rsidP="0054356B">
      <w:pPr>
        <w:ind w:left="567" w:hanging="567"/>
        <w:jc w:val="both"/>
        <w:rPr>
          <w:rFonts w:ascii="Arial" w:hAnsi="Arial" w:cs="Arial"/>
          <w:b/>
        </w:rPr>
      </w:pPr>
      <w:r w:rsidRPr="00CC4516">
        <w:rPr>
          <w:rFonts w:ascii="Arial" w:hAnsi="Arial" w:cs="Arial"/>
          <w:b/>
          <w:lang w:val="en-US"/>
        </w:rPr>
        <w:t>Firefighters’ Pensions (England) Scheme Advisory Board website</w:t>
      </w:r>
    </w:p>
    <w:p w14:paraId="379783B3" w14:textId="77777777" w:rsidR="0054356B" w:rsidRPr="00CC4516" w:rsidRDefault="0054356B" w:rsidP="0054356B">
      <w:pPr>
        <w:ind w:left="567" w:hanging="567"/>
        <w:jc w:val="both"/>
        <w:rPr>
          <w:rFonts w:ascii="Arial" w:hAnsi="Arial" w:cs="Arial"/>
          <w:i/>
          <w:lang w:val="en-US"/>
        </w:rPr>
      </w:pPr>
    </w:p>
    <w:p w14:paraId="4AA43A5A" w14:textId="77777777" w:rsidR="0054356B" w:rsidRPr="00CC4516" w:rsidRDefault="0054356B" w:rsidP="0054356B">
      <w:pPr>
        <w:pStyle w:val="ListParagraph"/>
        <w:numPr>
          <w:ilvl w:val="0"/>
          <w:numId w:val="8"/>
        </w:numPr>
        <w:autoSpaceDE w:val="0"/>
        <w:autoSpaceDN w:val="0"/>
        <w:adjustRightInd w:val="0"/>
        <w:ind w:left="567" w:hanging="567"/>
        <w:rPr>
          <w:rFonts w:ascii="Arial" w:hAnsi="Arial" w:cs="Arial"/>
        </w:rPr>
      </w:pPr>
      <w:r w:rsidRPr="00CC4516">
        <w:rPr>
          <w:rFonts w:ascii="Arial" w:hAnsi="Arial" w:cs="Arial"/>
        </w:rPr>
        <w:t xml:space="preserve">The SAB website recently launched at the Firefighters’ Pensions conference. The site can be found at </w:t>
      </w:r>
      <w:hyperlink r:id="rId12" w:history="1">
        <w:r w:rsidRPr="00CC4516">
          <w:rPr>
            <w:rStyle w:val="Hyperlink"/>
            <w:rFonts w:ascii="Arial" w:hAnsi="Arial" w:cs="Arial"/>
          </w:rPr>
          <w:t>www.fpsboard.org</w:t>
        </w:r>
      </w:hyperlink>
      <w:r w:rsidRPr="00CC4516">
        <w:rPr>
          <w:rFonts w:ascii="Arial" w:hAnsi="Arial" w:cs="Arial"/>
        </w:rPr>
        <w:t xml:space="preserve"> and contains a wealth of information on the role and work of the Board. </w:t>
      </w:r>
    </w:p>
    <w:p w14:paraId="195F5DBF" w14:textId="77777777" w:rsidR="0054356B" w:rsidRPr="00CC4516" w:rsidRDefault="0054356B" w:rsidP="0054356B">
      <w:pPr>
        <w:pStyle w:val="ListParagraph"/>
        <w:ind w:left="567" w:hanging="567"/>
        <w:rPr>
          <w:rFonts w:ascii="Arial" w:hAnsi="Arial" w:cs="Arial"/>
        </w:rPr>
      </w:pPr>
    </w:p>
    <w:p w14:paraId="7A9C3410" w14:textId="77777777" w:rsidR="0054356B" w:rsidRPr="00CC4516" w:rsidRDefault="0054356B" w:rsidP="0054356B">
      <w:pPr>
        <w:pStyle w:val="ListParagraph"/>
        <w:ind w:left="567"/>
        <w:rPr>
          <w:rFonts w:ascii="Arial" w:hAnsi="Arial" w:cs="Arial"/>
        </w:rPr>
      </w:pPr>
      <w:r w:rsidRPr="00CC4516">
        <w:rPr>
          <w:rFonts w:ascii="Arial" w:hAnsi="Arial" w:cs="Arial"/>
        </w:rPr>
        <w:t xml:space="preserve">LGA will regularly update the site with new content, including training materials and governance resources. Feedback welcome to </w:t>
      </w:r>
      <w:hyperlink r:id="rId13" w:history="1">
        <w:r w:rsidRPr="00CC4516">
          <w:rPr>
            <w:rStyle w:val="Hyperlink"/>
            <w:rFonts w:ascii="Arial" w:hAnsi="Arial" w:cs="Arial"/>
          </w:rPr>
          <w:t>Claire.hey@local.gov.uk</w:t>
        </w:r>
      </w:hyperlink>
      <w:r w:rsidRPr="00CC4516">
        <w:rPr>
          <w:rFonts w:ascii="Arial" w:hAnsi="Arial" w:cs="Arial"/>
        </w:rPr>
        <w:t xml:space="preserve">. </w:t>
      </w:r>
    </w:p>
    <w:p w14:paraId="5586352F" w14:textId="77777777" w:rsidR="00CC4516" w:rsidRPr="00CC4516" w:rsidRDefault="00CC4516" w:rsidP="0054356B">
      <w:pPr>
        <w:ind w:left="567" w:hanging="567"/>
        <w:jc w:val="both"/>
        <w:rPr>
          <w:rFonts w:ascii="Arial" w:hAnsi="Arial" w:cs="Arial"/>
          <w:b/>
          <w:color w:val="000000"/>
        </w:rPr>
      </w:pPr>
    </w:p>
    <w:p w14:paraId="18B33128" w14:textId="77777777" w:rsidR="00CC4516" w:rsidRDefault="00CC4516" w:rsidP="0054356B">
      <w:pPr>
        <w:ind w:left="567" w:hanging="567"/>
        <w:jc w:val="both"/>
        <w:rPr>
          <w:rFonts w:ascii="Arial" w:hAnsi="Arial" w:cs="Arial"/>
          <w:b/>
          <w:color w:val="000000"/>
        </w:rPr>
      </w:pPr>
    </w:p>
    <w:p w14:paraId="2D718048" w14:textId="77777777" w:rsidR="00CC4516" w:rsidRDefault="00CC4516" w:rsidP="0054356B">
      <w:pPr>
        <w:ind w:left="567" w:hanging="567"/>
        <w:jc w:val="both"/>
        <w:rPr>
          <w:rFonts w:ascii="Arial" w:hAnsi="Arial" w:cs="Arial"/>
          <w:b/>
          <w:color w:val="000000"/>
        </w:rPr>
      </w:pPr>
    </w:p>
    <w:p w14:paraId="76531F32" w14:textId="77777777" w:rsidR="00CC4516" w:rsidRDefault="00CC4516" w:rsidP="0054356B">
      <w:pPr>
        <w:ind w:left="567" w:hanging="567"/>
        <w:jc w:val="both"/>
        <w:rPr>
          <w:rFonts w:ascii="Arial" w:hAnsi="Arial" w:cs="Arial"/>
          <w:b/>
          <w:color w:val="000000"/>
        </w:rPr>
      </w:pPr>
    </w:p>
    <w:p w14:paraId="6DE0C795" w14:textId="77777777" w:rsidR="00CC4516" w:rsidRDefault="00CC4516" w:rsidP="0054356B">
      <w:pPr>
        <w:ind w:left="567" w:hanging="567"/>
        <w:jc w:val="both"/>
        <w:rPr>
          <w:rFonts w:ascii="Arial" w:hAnsi="Arial" w:cs="Arial"/>
          <w:b/>
          <w:color w:val="000000"/>
        </w:rPr>
      </w:pPr>
    </w:p>
    <w:p w14:paraId="63559A3C" w14:textId="77777777" w:rsidR="0092381E" w:rsidRPr="00CC4516" w:rsidRDefault="00CC4516" w:rsidP="0054356B">
      <w:pPr>
        <w:ind w:left="567" w:hanging="567"/>
        <w:jc w:val="both"/>
        <w:rPr>
          <w:rFonts w:ascii="Arial" w:hAnsi="Arial" w:cs="Arial"/>
          <w:b/>
          <w:color w:val="000000"/>
        </w:rPr>
      </w:pPr>
      <w:bookmarkStart w:id="0" w:name="_GoBack"/>
      <w:bookmarkEnd w:id="0"/>
      <w:r w:rsidRPr="00CC4516">
        <w:rPr>
          <w:rFonts w:ascii="Arial" w:hAnsi="Arial" w:cs="Arial"/>
          <w:b/>
          <w:color w:val="000000"/>
        </w:rPr>
        <w:lastRenderedPageBreak/>
        <w:t>Key wider workforce issues</w:t>
      </w:r>
    </w:p>
    <w:p w14:paraId="660ADA6B" w14:textId="77777777" w:rsidR="0092381E" w:rsidRPr="00CC4516" w:rsidRDefault="0092381E" w:rsidP="008B219B">
      <w:pPr>
        <w:ind w:left="1080"/>
        <w:jc w:val="both"/>
        <w:rPr>
          <w:rFonts w:ascii="Arial" w:hAnsi="Arial" w:cs="Arial"/>
          <w:b/>
          <w:color w:val="000000"/>
        </w:rPr>
      </w:pPr>
    </w:p>
    <w:p w14:paraId="496A26EB" w14:textId="77777777" w:rsidR="0036302B" w:rsidRPr="00CC4516" w:rsidRDefault="0036302B" w:rsidP="0036302B">
      <w:pPr>
        <w:widowControl w:val="0"/>
        <w:tabs>
          <w:tab w:val="left" w:pos="1455"/>
        </w:tabs>
        <w:overflowPunct w:val="0"/>
        <w:autoSpaceDE w:val="0"/>
        <w:autoSpaceDN w:val="0"/>
        <w:adjustRightInd w:val="0"/>
        <w:spacing w:after="200" w:line="276" w:lineRule="auto"/>
        <w:contextualSpacing/>
        <w:jc w:val="both"/>
        <w:textAlignment w:val="baseline"/>
        <w:rPr>
          <w:rFonts w:ascii="Arial" w:hAnsi="Arial" w:cs="Arial"/>
          <w:b/>
          <w:lang w:eastAsia="en-GB"/>
        </w:rPr>
      </w:pPr>
      <w:r w:rsidRPr="00CC4516">
        <w:rPr>
          <w:rFonts w:ascii="Arial" w:hAnsi="Arial" w:cs="Arial"/>
          <w:b/>
          <w:lang w:eastAsia="en-GB"/>
        </w:rPr>
        <w:t>Pay claim</w:t>
      </w:r>
      <w:r w:rsidR="00BF5BE7" w:rsidRPr="00CC4516">
        <w:rPr>
          <w:rFonts w:ascii="Arial" w:hAnsi="Arial" w:cs="Arial"/>
          <w:b/>
          <w:lang w:eastAsia="en-GB"/>
        </w:rPr>
        <w:t xml:space="preserve"> and broadening the role negotiation</w:t>
      </w:r>
      <w:r w:rsidRPr="00CC4516">
        <w:rPr>
          <w:rFonts w:ascii="Arial" w:hAnsi="Arial" w:cs="Arial"/>
          <w:b/>
          <w:lang w:eastAsia="en-GB"/>
        </w:rPr>
        <w:tab/>
      </w:r>
    </w:p>
    <w:p w14:paraId="0863DC5E" w14:textId="77777777" w:rsidR="009B0A9D" w:rsidRPr="00CC4516" w:rsidRDefault="00BF5BE7" w:rsidP="00792F6F">
      <w:pPr>
        <w:pStyle w:val="ListParagraph"/>
        <w:widowControl w:val="0"/>
        <w:numPr>
          <w:ilvl w:val="0"/>
          <w:numId w:val="8"/>
        </w:numPr>
        <w:overflowPunct w:val="0"/>
        <w:autoSpaceDE w:val="0"/>
        <w:autoSpaceDN w:val="0"/>
        <w:adjustRightInd w:val="0"/>
        <w:spacing w:after="200" w:line="276" w:lineRule="auto"/>
        <w:ind w:left="567" w:hanging="567"/>
        <w:contextualSpacing/>
        <w:jc w:val="both"/>
        <w:textAlignment w:val="baseline"/>
        <w:rPr>
          <w:rFonts w:ascii="Arial" w:hAnsi="Arial" w:cs="Arial"/>
          <w:lang w:eastAsia="en-GB"/>
        </w:rPr>
      </w:pPr>
      <w:r w:rsidRPr="00CC4516">
        <w:rPr>
          <w:rFonts w:ascii="Arial" w:hAnsi="Arial" w:cs="Arial"/>
          <w:lang w:eastAsia="en-GB"/>
        </w:rPr>
        <w:t xml:space="preserve">Both sides of the NJC </w:t>
      </w:r>
      <w:r w:rsidR="009B0A9D" w:rsidRPr="00CC4516">
        <w:rPr>
          <w:rFonts w:ascii="Arial" w:hAnsi="Arial" w:cs="Arial"/>
          <w:lang w:eastAsia="en-GB"/>
        </w:rPr>
        <w:t xml:space="preserve">remain </w:t>
      </w:r>
      <w:r w:rsidRPr="00CC4516">
        <w:rPr>
          <w:rFonts w:ascii="Arial" w:hAnsi="Arial" w:cs="Arial"/>
          <w:lang w:eastAsia="en-GB"/>
        </w:rPr>
        <w:t>fully committed to identifying a mutually acceptable resolution and negotiations are therefore continuing</w:t>
      </w:r>
      <w:r w:rsidR="00792F6F" w:rsidRPr="00CC4516">
        <w:rPr>
          <w:rFonts w:ascii="Arial" w:hAnsi="Arial" w:cs="Arial"/>
          <w:lang w:eastAsia="en-GB"/>
        </w:rPr>
        <w:t xml:space="preserve"> with m</w:t>
      </w:r>
      <w:r w:rsidRPr="00CC4516">
        <w:rPr>
          <w:rFonts w:ascii="Arial" w:hAnsi="Arial" w:cs="Arial"/>
          <w:lang w:eastAsia="en-GB"/>
        </w:rPr>
        <w:t>eetings taking place to scope potential changes</w:t>
      </w:r>
      <w:r w:rsidR="009B0A9D" w:rsidRPr="00CC4516">
        <w:rPr>
          <w:rFonts w:ascii="Arial" w:hAnsi="Arial" w:cs="Arial"/>
          <w:lang w:eastAsia="en-GB"/>
        </w:rPr>
        <w:t xml:space="preserve"> </w:t>
      </w:r>
      <w:r w:rsidRPr="00CC4516">
        <w:rPr>
          <w:rFonts w:ascii="Arial" w:hAnsi="Arial" w:cs="Arial"/>
          <w:lang w:eastAsia="en-GB"/>
        </w:rPr>
        <w:t xml:space="preserve">to roles and to explore how </w:t>
      </w:r>
      <w:r w:rsidR="009B0A9D" w:rsidRPr="00CC4516">
        <w:rPr>
          <w:rFonts w:ascii="Arial" w:hAnsi="Arial" w:cs="Arial"/>
          <w:lang w:eastAsia="en-GB"/>
        </w:rPr>
        <w:t xml:space="preserve">that could be reflected in terms of pay. </w:t>
      </w:r>
    </w:p>
    <w:p w14:paraId="7A09B133" w14:textId="77777777" w:rsidR="009B0A9D" w:rsidRPr="00CC4516" w:rsidRDefault="009B0A9D" w:rsidP="009B0A9D">
      <w:pPr>
        <w:pStyle w:val="ListParagraph"/>
        <w:rPr>
          <w:rFonts w:ascii="Arial" w:hAnsi="Arial" w:cs="Arial"/>
          <w:lang w:eastAsia="en-GB"/>
        </w:rPr>
      </w:pPr>
    </w:p>
    <w:p w14:paraId="60DFF46D" w14:textId="77777777" w:rsidR="0036302B" w:rsidRPr="00CC4516" w:rsidRDefault="009B0A9D" w:rsidP="000C1EB5">
      <w:pPr>
        <w:pStyle w:val="ListParagraph"/>
        <w:widowControl w:val="0"/>
        <w:numPr>
          <w:ilvl w:val="0"/>
          <w:numId w:val="8"/>
        </w:numPr>
        <w:overflowPunct w:val="0"/>
        <w:autoSpaceDE w:val="0"/>
        <w:autoSpaceDN w:val="0"/>
        <w:adjustRightInd w:val="0"/>
        <w:spacing w:after="200" w:line="276" w:lineRule="auto"/>
        <w:ind w:left="567" w:hanging="567"/>
        <w:contextualSpacing/>
        <w:jc w:val="both"/>
        <w:textAlignment w:val="baseline"/>
        <w:rPr>
          <w:rFonts w:ascii="Arial" w:hAnsi="Arial" w:cs="Arial"/>
          <w:lang w:eastAsia="en-GB"/>
        </w:rPr>
      </w:pPr>
      <w:r w:rsidRPr="00CC4516">
        <w:rPr>
          <w:rFonts w:ascii="Arial" w:hAnsi="Arial" w:cs="Arial"/>
          <w:lang w:eastAsia="en-GB"/>
        </w:rPr>
        <w:t>As members are aware the latter will be directly affected by available funding on a sustainable basis. Both sides of the NJC therefore remain committed to joint political lobbying i</w:t>
      </w:r>
      <w:r w:rsidR="00665EAE" w:rsidRPr="00CC4516">
        <w:rPr>
          <w:rFonts w:ascii="Arial" w:hAnsi="Arial" w:cs="Arial"/>
          <w:lang w:eastAsia="en-GB"/>
        </w:rPr>
        <w:t xml:space="preserve">n that regard. </w:t>
      </w:r>
    </w:p>
    <w:p w14:paraId="0AB0E007" w14:textId="77777777" w:rsidR="00665EAE" w:rsidRPr="00CC4516" w:rsidRDefault="00665EAE" w:rsidP="00665EAE">
      <w:pPr>
        <w:pStyle w:val="ListParagraph"/>
        <w:rPr>
          <w:rFonts w:ascii="Arial" w:hAnsi="Arial" w:cs="Arial"/>
          <w:lang w:eastAsia="en-GB"/>
        </w:rPr>
      </w:pPr>
    </w:p>
    <w:p w14:paraId="3E8F2BA2" w14:textId="77777777" w:rsidR="00665EAE" w:rsidRPr="00CC4516" w:rsidRDefault="00665EAE" w:rsidP="000C1EB5">
      <w:pPr>
        <w:pStyle w:val="ListParagraph"/>
        <w:widowControl w:val="0"/>
        <w:numPr>
          <w:ilvl w:val="0"/>
          <w:numId w:val="8"/>
        </w:numPr>
        <w:overflowPunct w:val="0"/>
        <w:autoSpaceDE w:val="0"/>
        <w:autoSpaceDN w:val="0"/>
        <w:adjustRightInd w:val="0"/>
        <w:spacing w:after="200" w:line="276" w:lineRule="auto"/>
        <w:ind w:left="567" w:hanging="567"/>
        <w:contextualSpacing/>
        <w:jc w:val="both"/>
        <w:textAlignment w:val="baseline"/>
        <w:rPr>
          <w:rFonts w:ascii="Arial" w:hAnsi="Arial" w:cs="Arial"/>
          <w:lang w:eastAsia="en-GB"/>
        </w:rPr>
      </w:pPr>
      <w:r w:rsidRPr="00CC4516">
        <w:rPr>
          <w:rFonts w:ascii="Arial" w:hAnsi="Arial" w:cs="Arial"/>
          <w:lang w:eastAsia="en-GB"/>
        </w:rPr>
        <w:t xml:space="preserve">To inform such lobbying, and building upon the </w:t>
      </w:r>
      <w:r w:rsidR="00792F6F" w:rsidRPr="00CC4516">
        <w:rPr>
          <w:rFonts w:ascii="Arial" w:hAnsi="Arial" w:cs="Arial"/>
          <w:lang w:eastAsia="en-GB"/>
        </w:rPr>
        <w:t xml:space="preserve">independent </w:t>
      </w:r>
      <w:r w:rsidRPr="00CC4516">
        <w:rPr>
          <w:rFonts w:ascii="Arial" w:hAnsi="Arial" w:cs="Arial"/>
          <w:lang w:eastAsia="en-GB"/>
        </w:rPr>
        <w:t xml:space="preserve">evaluation of the medical-related trials undertaken by the </w:t>
      </w:r>
      <w:hyperlink r:id="rId14" w:history="1">
        <w:r w:rsidRPr="00CC4516">
          <w:rPr>
            <w:rStyle w:val="Hyperlink"/>
            <w:rFonts w:ascii="Arial" w:hAnsi="Arial" w:cs="Arial"/>
            <w:lang w:eastAsia="en-GB"/>
          </w:rPr>
          <w:t>University of Hertfordshire</w:t>
        </w:r>
      </w:hyperlink>
      <w:r w:rsidRPr="00CC4516">
        <w:rPr>
          <w:rFonts w:ascii="Arial" w:hAnsi="Arial" w:cs="Arial"/>
          <w:lang w:eastAsia="en-GB"/>
        </w:rPr>
        <w:t>, the NJC commission</w:t>
      </w:r>
      <w:r w:rsidR="00792F6F" w:rsidRPr="00CC4516">
        <w:rPr>
          <w:rFonts w:ascii="Arial" w:hAnsi="Arial" w:cs="Arial"/>
          <w:lang w:eastAsia="en-GB"/>
        </w:rPr>
        <w:t>ed</w:t>
      </w:r>
      <w:r w:rsidRPr="00CC4516">
        <w:rPr>
          <w:rFonts w:ascii="Arial" w:hAnsi="Arial" w:cs="Arial"/>
          <w:lang w:eastAsia="en-GB"/>
        </w:rPr>
        <w:t xml:space="preserve"> </w:t>
      </w:r>
      <w:r w:rsidRPr="00CC4516">
        <w:rPr>
          <w:rFonts w:ascii="Arial" w:hAnsi="Arial" w:cs="Arial"/>
          <w:i/>
          <w:lang w:eastAsia="en-GB"/>
        </w:rPr>
        <w:t>New Economy</w:t>
      </w:r>
      <w:r w:rsidRPr="00CC4516">
        <w:rPr>
          <w:rFonts w:ascii="Arial" w:hAnsi="Arial" w:cs="Arial"/>
          <w:lang w:eastAsia="en-GB"/>
        </w:rPr>
        <w:t xml:space="preserve"> to undertake a detailed cost benefit analysis in respect of responding to category 1 cardiac arrests. </w:t>
      </w:r>
    </w:p>
    <w:p w14:paraId="1589BD72" w14:textId="77777777" w:rsidR="00665EAE" w:rsidRPr="00CC4516" w:rsidRDefault="00665EAE" w:rsidP="00665EAE">
      <w:pPr>
        <w:pStyle w:val="ListParagraph"/>
        <w:rPr>
          <w:rFonts w:ascii="Arial" w:hAnsi="Arial" w:cs="Arial"/>
          <w:lang w:eastAsia="en-GB"/>
        </w:rPr>
      </w:pPr>
    </w:p>
    <w:p w14:paraId="60357EDA" w14:textId="77777777" w:rsidR="00665EAE" w:rsidRPr="00CC4516" w:rsidRDefault="00665EAE" w:rsidP="002612B8">
      <w:pPr>
        <w:pStyle w:val="ListParagraph"/>
        <w:widowControl w:val="0"/>
        <w:numPr>
          <w:ilvl w:val="0"/>
          <w:numId w:val="8"/>
        </w:numPr>
        <w:overflowPunct w:val="0"/>
        <w:autoSpaceDE w:val="0"/>
        <w:autoSpaceDN w:val="0"/>
        <w:adjustRightInd w:val="0"/>
        <w:spacing w:after="200" w:line="276" w:lineRule="auto"/>
        <w:ind w:left="567" w:hanging="567"/>
        <w:contextualSpacing/>
        <w:jc w:val="both"/>
        <w:textAlignment w:val="baseline"/>
        <w:rPr>
          <w:rFonts w:ascii="Arial" w:hAnsi="Arial" w:cs="Arial"/>
          <w:lang w:eastAsia="en-GB"/>
        </w:rPr>
      </w:pPr>
      <w:r w:rsidRPr="00CC4516">
        <w:rPr>
          <w:rFonts w:ascii="Arial" w:hAnsi="Arial" w:cs="Arial"/>
          <w:lang w:eastAsia="en-GB"/>
        </w:rPr>
        <w:t xml:space="preserve">Arrangements have been made to meet with members of the All Party </w:t>
      </w:r>
      <w:r w:rsidR="00792F6F" w:rsidRPr="00CC4516">
        <w:rPr>
          <w:rFonts w:ascii="Arial" w:hAnsi="Arial" w:cs="Arial"/>
          <w:lang w:eastAsia="en-GB"/>
        </w:rPr>
        <w:t xml:space="preserve">Fire Safety and Rescue </w:t>
      </w:r>
      <w:r w:rsidRPr="00CC4516">
        <w:rPr>
          <w:rFonts w:ascii="Arial" w:hAnsi="Arial" w:cs="Arial"/>
          <w:lang w:eastAsia="en-GB"/>
        </w:rPr>
        <w:t>Parliamentary Group on 15 November. On this occasion NJC attendees will include Cllr Nick Chard the Employers’ Side Chair, Alan McLea</w:t>
      </w:r>
      <w:r w:rsidR="00792F6F" w:rsidRPr="00CC4516">
        <w:rPr>
          <w:rFonts w:ascii="Arial" w:hAnsi="Arial" w:cs="Arial"/>
          <w:lang w:eastAsia="en-GB"/>
        </w:rPr>
        <w:t xml:space="preserve">n the Employees’ Side Chair, </w:t>
      </w:r>
      <w:r w:rsidRPr="00CC4516">
        <w:rPr>
          <w:rFonts w:ascii="Arial" w:hAnsi="Arial" w:cs="Arial"/>
          <w:lang w:eastAsia="en-GB"/>
        </w:rPr>
        <w:t xml:space="preserve"> Employers’ </w:t>
      </w:r>
      <w:r w:rsidR="00792F6F" w:rsidRPr="00CC4516">
        <w:rPr>
          <w:rFonts w:ascii="Arial" w:hAnsi="Arial" w:cs="Arial"/>
          <w:lang w:eastAsia="en-GB"/>
        </w:rPr>
        <w:t xml:space="preserve">and Employees’ </w:t>
      </w:r>
      <w:r w:rsidRPr="00CC4516">
        <w:rPr>
          <w:rFonts w:ascii="Arial" w:hAnsi="Arial" w:cs="Arial"/>
          <w:lang w:eastAsia="en-GB"/>
        </w:rPr>
        <w:t>Secretariat</w:t>
      </w:r>
      <w:r w:rsidR="00792F6F" w:rsidRPr="00CC4516">
        <w:rPr>
          <w:rFonts w:ascii="Arial" w:hAnsi="Arial" w:cs="Arial"/>
          <w:lang w:eastAsia="en-GB"/>
        </w:rPr>
        <w:t xml:space="preserve">s. </w:t>
      </w:r>
      <w:r w:rsidRPr="00CC4516">
        <w:rPr>
          <w:rFonts w:ascii="Arial" w:hAnsi="Arial" w:cs="Arial"/>
          <w:lang w:eastAsia="en-GB"/>
        </w:rPr>
        <w:t xml:space="preserve"> Furthermore that gro</w:t>
      </w:r>
      <w:r w:rsidR="00792F6F" w:rsidRPr="00CC4516">
        <w:rPr>
          <w:rFonts w:ascii="Arial" w:hAnsi="Arial" w:cs="Arial"/>
          <w:lang w:eastAsia="en-GB"/>
        </w:rPr>
        <w:t>up has agreed to sponsor a Westminster</w:t>
      </w:r>
      <w:r w:rsidRPr="00CC4516">
        <w:rPr>
          <w:rFonts w:ascii="Arial" w:hAnsi="Arial" w:cs="Arial"/>
          <w:lang w:eastAsia="en-GB"/>
        </w:rPr>
        <w:t xml:space="preserve"> event </w:t>
      </w:r>
      <w:r w:rsidR="00792F6F" w:rsidRPr="00CC4516">
        <w:rPr>
          <w:rFonts w:ascii="Arial" w:hAnsi="Arial" w:cs="Arial"/>
          <w:lang w:eastAsia="en-GB"/>
        </w:rPr>
        <w:t xml:space="preserve">early in January </w:t>
      </w:r>
      <w:r w:rsidRPr="00CC4516">
        <w:rPr>
          <w:rFonts w:ascii="Arial" w:hAnsi="Arial" w:cs="Arial"/>
          <w:lang w:eastAsia="en-GB"/>
        </w:rPr>
        <w:t xml:space="preserve">to which </w:t>
      </w:r>
      <w:r w:rsidR="002612B8" w:rsidRPr="00CC4516">
        <w:rPr>
          <w:rFonts w:ascii="Arial" w:hAnsi="Arial" w:cs="Arial"/>
          <w:lang w:eastAsia="en-GB"/>
        </w:rPr>
        <w:t xml:space="preserve">a wider group including </w:t>
      </w:r>
      <w:r w:rsidRPr="00CC4516">
        <w:rPr>
          <w:rFonts w:ascii="Arial" w:hAnsi="Arial" w:cs="Arial"/>
          <w:lang w:eastAsia="en-GB"/>
        </w:rPr>
        <w:t>all MPs will be invited</w:t>
      </w:r>
      <w:r w:rsidR="002612B8" w:rsidRPr="00CC4516">
        <w:rPr>
          <w:rFonts w:ascii="Arial" w:hAnsi="Arial" w:cs="Arial"/>
          <w:lang w:eastAsia="en-GB"/>
        </w:rPr>
        <w:t xml:space="preserve">. </w:t>
      </w:r>
      <w:r w:rsidR="002612B8" w:rsidRPr="00CC4516">
        <w:rPr>
          <w:rFonts w:ascii="Arial" w:hAnsi="Arial" w:cs="Arial"/>
          <w:i/>
          <w:lang w:eastAsia="en-GB"/>
        </w:rPr>
        <w:t xml:space="preserve">New Economy </w:t>
      </w:r>
      <w:r w:rsidR="002612B8" w:rsidRPr="00CC4516">
        <w:rPr>
          <w:rFonts w:ascii="Arial" w:hAnsi="Arial" w:cs="Arial"/>
          <w:lang w:eastAsia="en-GB"/>
        </w:rPr>
        <w:t xml:space="preserve">will be presenting their findings at both events. </w:t>
      </w:r>
    </w:p>
    <w:p w14:paraId="7F505320" w14:textId="77777777" w:rsidR="001D3AC0" w:rsidRPr="00CC4516" w:rsidRDefault="001D3AC0" w:rsidP="001D3AC0">
      <w:pPr>
        <w:pStyle w:val="ListParagraph"/>
        <w:rPr>
          <w:rFonts w:ascii="Arial" w:hAnsi="Arial" w:cs="Arial"/>
          <w:lang w:eastAsia="en-GB"/>
        </w:rPr>
      </w:pPr>
    </w:p>
    <w:p w14:paraId="4791DBF9" w14:textId="77777777" w:rsidR="00E620F2" w:rsidRPr="00CC4516" w:rsidRDefault="002612B8" w:rsidP="002612B8">
      <w:pPr>
        <w:pStyle w:val="ListParagraph"/>
        <w:widowControl w:val="0"/>
        <w:numPr>
          <w:ilvl w:val="0"/>
          <w:numId w:val="8"/>
        </w:numPr>
        <w:overflowPunct w:val="0"/>
        <w:autoSpaceDE w:val="0"/>
        <w:autoSpaceDN w:val="0"/>
        <w:adjustRightInd w:val="0"/>
        <w:spacing w:after="200" w:line="276" w:lineRule="auto"/>
        <w:ind w:left="567" w:hanging="567"/>
        <w:contextualSpacing/>
        <w:jc w:val="both"/>
        <w:textAlignment w:val="baseline"/>
        <w:rPr>
          <w:rFonts w:ascii="Arial" w:hAnsi="Arial" w:cs="Arial"/>
          <w:lang w:eastAsia="en-GB"/>
        </w:rPr>
      </w:pPr>
      <w:r w:rsidRPr="00CC4516">
        <w:rPr>
          <w:rFonts w:ascii="Arial" w:hAnsi="Arial" w:cs="Arial"/>
          <w:lang w:eastAsia="en-GB"/>
        </w:rPr>
        <w:t>Members will recall that the Employers’ Side has suggested a 1.0</w:t>
      </w:r>
      <w:r w:rsidR="00CC4516" w:rsidRPr="00CC4516">
        <w:rPr>
          <w:rFonts w:ascii="Arial" w:hAnsi="Arial" w:cs="Arial"/>
          <w:lang w:eastAsia="en-GB"/>
        </w:rPr>
        <w:t xml:space="preserve"> per cent</w:t>
      </w:r>
      <w:r w:rsidRPr="00CC4516">
        <w:rPr>
          <w:rFonts w:ascii="Arial" w:hAnsi="Arial" w:cs="Arial"/>
          <w:lang w:eastAsia="en-GB"/>
        </w:rPr>
        <w:t xml:space="preserve"> uplift in basic pay and continual professional development payments be applied (with effect from 1 July 2017) while negotiations continue. At the time of writing discussion continues on that matter. </w:t>
      </w:r>
    </w:p>
    <w:p w14:paraId="41B0C848" w14:textId="77777777" w:rsidR="001D3AC0" w:rsidRPr="00CC4516" w:rsidRDefault="001C730F" w:rsidP="001C730F">
      <w:pPr>
        <w:widowControl w:val="0"/>
        <w:overflowPunct w:val="0"/>
        <w:autoSpaceDE w:val="0"/>
        <w:autoSpaceDN w:val="0"/>
        <w:adjustRightInd w:val="0"/>
        <w:spacing w:after="200" w:line="276" w:lineRule="auto"/>
        <w:contextualSpacing/>
        <w:jc w:val="both"/>
        <w:textAlignment w:val="baseline"/>
        <w:rPr>
          <w:rFonts w:ascii="Arial" w:hAnsi="Arial" w:cs="Arial"/>
          <w:b/>
          <w:lang w:eastAsia="en-GB"/>
        </w:rPr>
      </w:pPr>
      <w:r w:rsidRPr="00CC4516">
        <w:rPr>
          <w:rFonts w:ascii="Arial" w:hAnsi="Arial" w:cs="Arial"/>
          <w:b/>
          <w:lang w:eastAsia="en-GB"/>
        </w:rPr>
        <w:t>Inclusive Fire Service Group</w:t>
      </w:r>
    </w:p>
    <w:p w14:paraId="3600506B" w14:textId="77777777" w:rsidR="0036302B" w:rsidRPr="00CC4516" w:rsidRDefault="0036302B" w:rsidP="006209A1">
      <w:pPr>
        <w:widowControl w:val="0"/>
        <w:overflowPunct w:val="0"/>
        <w:autoSpaceDE w:val="0"/>
        <w:autoSpaceDN w:val="0"/>
        <w:adjustRightInd w:val="0"/>
        <w:spacing w:after="200" w:line="276" w:lineRule="auto"/>
        <w:ind w:left="567"/>
        <w:contextualSpacing/>
        <w:jc w:val="both"/>
        <w:textAlignment w:val="baseline"/>
        <w:rPr>
          <w:rFonts w:ascii="Arial" w:hAnsi="Arial" w:cs="Arial"/>
          <w:lang w:eastAsia="en-GB"/>
        </w:rPr>
      </w:pPr>
    </w:p>
    <w:p w14:paraId="4519DFAE" w14:textId="77777777" w:rsidR="001C730F" w:rsidRPr="00CC4516" w:rsidRDefault="006A14B8" w:rsidP="00544FCD">
      <w:pPr>
        <w:widowControl w:val="0"/>
        <w:numPr>
          <w:ilvl w:val="0"/>
          <w:numId w:val="8"/>
        </w:numPr>
        <w:overflowPunct w:val="0"/>
        <w:autoSpaceDE w:val="0"/>
        <w:autoSpaceDN w:val="0"/>
        <w:adjustRightInd w:val="0"/>
        <w:spacing w:after="200" w:line="276" w:lineRule="auto"/>
        <w:ind w:left="567" w:hanging="567"/>
        <w:contextualSpacing/>
        <w:jc w:val="both"/>
        <w:textAlignment w:val="baseline"/>
        <w:rPr>
          <w:rFonts w:ascii="Arial" w:hAnsi="Arial" w:cs="Arial"/>
          <w:lang w:eastAsia="en-GB"/>
        </w:rPr>
      </w:pPr>
      <w:r w:rsidRPr="00CC4516">
        <w:rPr>
          <w:rFonts w:ascii="Arial" w:hAnsi="Arial" w:cs="Arial"/>
          <w:lang w:eastAsia="en-GB"/>
        </w:rPr>
        <w:t>Members</w:t>
      </w:r>
      <w:r w:rsidR="001C730F" w:rsidRPr="00CC4516">
        <w:rPr>
          <w:rFonts w:ascii="Arial" w:hAnsi="Arial" w:cs="Arial"/>
          <w:lang w:eastAsia="en-GB"/>
        </w:rPr>
        <w:t xml:space="preserve"> will recall that </w:t>
      </w:r>
      <w:r w:rsidRPr="00CC4516">
        <w:rPr>
          <w:rFonts w:ascii="Arial" w:hAnsi="Arial" w:cs="Arial"/>
          <w:lang w:eastAsia="en-GB"/>
        </w:rPr>
        <w:t xml:space="preserve">the Inclusive Fire Service Group was set up by the NJC to </w:t>
      </w:r>
      <w:r w:rsidR="001C730F" w:rsidRPr="00CC4516">
        <w:rPr>
          <w:rFonts w:ascii="Arial" w:hAnsi="Arial" w:cs="Arial"/>
          <w:lang w:eastAsia="en-GB"/>
        </w:rPr>
        <w:t xml:space="preserve">assess the current position </w:t>
      </w:r>
      <w:r w:rsidRPr="00CC4516">
        <w:rPr>
          <w:rFonts w:ascii="Arial" w:hAnsi="Arial" w:cs="Arial"/>
          <w:lang w:eastAsia="en-GB"/>
        </w:rPr>
        <w:t xml:space="preserve">on equality, diversity, cultural and behavioural issues within the service </w:t>
      </w:r>
      <w:r w:rsidR="001C730F" w:rsidRPr="00CC4516">
        <w:rPr>
          <w:rFonts w:ascii="Arial" w:hAnsi="Arial" w:cs="Arial"/>
          <w:lang w:eastAsia="en-GB"/>
        </w:rPr>
        <w:t xml:space="preserve">and to identify guidance in relation to any further strategies that could be used at local level to further encourage improvement. Interested parties such as the </w:t>
      </w:r>
      <w:r w:rsidRPr="00CC4516">
        <w:rPr>
          <w:rFonts w:ascii="Arial" w:hAnsi="Arial" w:cs="Arial"/>
          <w:lang w:eastAsia="en-GB"/>
        </w:rPr>
        <w:t>National Fire Chiefs Council</w:t>
      </w:r>
      <w:r w:rsidR="001C730F" w:rsidRPr="00CC4516">
        <w:rPr>
          <w:rFonts w:ascii="Arial" w:hAnsi="Arial" w:cs="Arial"/>
          <w:lang w:eastAsia="en-GB"/>
        </w:rPr>
        <w:t xml:space="preserve">, Fire Officers Association and Retained Firefighters Union </w:t>
      </w:r>
      <w:r w:rsidRPr="00CC4516">
        <w:rPr>
          <w:rFonts w:ascii="Arial" w:hAnsi="Arial" w:cs="Arial"/>
          <w:lang w:eastAsia="en-GB"/>
        </w:rPr>
        <w:t xml:space="preserve">were invited </w:t>
      </w:r>
      <w:r w:rsidR="001C730F" w:rsidRPr="00CC4516">
        <w:rPr>
          <w:rFonts w:ascii="Arial" w:hAnsi="Arial" w:cs="Arial"/>
          <w:lang w:eastAsia="en-GB"/>
        </w:rPr>
        <w:t xml:space="preserve">to be involved. The group is chaired by the Independent Chair of the NJC, Linda Dickens. </w:t>
      </w:r>
    </w:p>
    <w:p w14:paraId="0CA6E2A4" w14:textId="77777777" w:rsidR="001C730F" w:rsidRPr="00CC4516" w:rsidRDefault="001C730F" w:rsidP="00544FCD">
      <w:pPr>
        <w:widowControl w:val="0"/>
        <w:overflowPunct w:val="0"/>
        <w:autoSpaceDE w:val="0"/>
        <w:autoSpaceDN w:val="0"/>
        <w:adjustRightInd w:val="0"/>
        <w:spacing w:after="200" w:line="276" w:lineRule="auto"/>
        <w:ind w:left="567" w:hanging="567"/>
        <w:contextualSpacing/>
        <w:jc w:val="both"/>
        <w:textAlignment w:val="baseline"/>
        <w:rPr>
          <w:rFonts w:ascii="Arial" w:hAnsi="Arial" w:cs="Arial"/>
          <w:lang w:eastAsia="en-GB"/>
        </w:rPr>
      </w:pPr>
    </w:p>
    <w:p w14:paraId="79516B8A" w14:textId="77777777" w:rsidR="001C730F" w:rsidRPr="00CC4516" w:rsidRDefault="002612B8" w:rsidP="002612B8">
      <w:pPr>
        <w:widowControl w:val="0"/>
        <w:numPr>
          <w:ilvl w:val="0"/>
          <w:numId w:val="8"/>
        </w:numPr>
        <w:overflowPunct w:val="0"/>
        <w:autoSpaceDE w:val="0"/>
        <w:autoSpaceDN w:val="0"/>
        <w:adjustRightInd w:val="0"/>
        <w:spacing w:after="200" w:line="276" w:lineRule="auto"/>
        <w:ind w:left="567" w:hanging="567"/>
        <w:contextualSpacing/>
        <w:jc w:val="both"/>
        <w:textAlignment w:val="baseline"/>
        <w:rPr>
          <w:rFonts w:ascii="Arial" w:hAnsi="Arial" w:cs="Arial"/>
          <w:lang w:eastAsia="en-GB"/>
        </w:rPr>
      </w:pPr>
      <w:r w:rsidRPr="00CC4516">
        <w:rPr>
          <w:rFonts w:ascii="Arial" w:hAnsi="Arial" w:cs="Arial"/>
          <w:lang w:eastAsia="en-GB"/>
        </w:rPr>
        <w:t xml:space="preserve">One of the </w:t>
      </w:r>
      <w:hyperlink r:id="rId15" w:history="1">
        <w:r w:rsidRPr="00CC4516">
          <w:rPr>
            <w:rStyle w:val="Hyperlink"/>
            <w:rFonts w:ascii="Arial" w:hAnsi="Arial" w:cs="Arial"/>
            <w:lang w:eastAsia="en-GB"/>
          </w:rPr>
          <w:t>improvement strategies</w:t>
        </w:r>
      </w:hyperlink>
      <w:r w:rsidRPr="00CC4516">
        <w:rPr>
          <w:rFonts w:ascii="Arial" w:hAnsi="Arial" w:cs="Arial"/>
          <w:lang w:eastAsia="en-GB"/>
        </w:rPr>
        <w:t xml:space="preserve"> suggested by the group and supported at all levels in both the evidence gathering stage and since issue of the strategies to FRAs is that of a national awareness campaign about the role of a firefighter. The general view was that an information campaign to dispel</w:t>
      </w:r>
      <w:r w:rsidR="00BA10C9" w:rsidRPr="00CC4516">
        <w:rPr>
          <w:rFonts w:ascii="Arial" w:hAnsi="Arial" w:cs="Arial"/>
          <w:lang w:eastAsia="en-GB"/>
        </w:rPr>
        <w:t xml:space="preserve"> </w:t>
      </w:r>
      <w:r w:rsidRPr="00CC4516">
        <w:rPr>
          <w:rFonts w:ascii="Arial" w:hAnsi="Arial" w:cs="Arial"/>
          <w:lang w:eastAsia="en-GB"/>
        </w:rPr>
        <w:t>perception</w:t>
      </w:r>
      <w:r w:rsidR="00BA10C9" w:rsidRPr="00CC4516">
        <w:rPr>
          <w:rFonts w:ascii="Arial" w:hAnsi="Arial" w:cs="Arial"/>
          <w:lang w:eastAsia="en-GB"/>
        </w:rPr>
        <w:t>s</w:t>
      </w:r>
      <w:r w:rsidRPr="00CC4516">
        <w:rPr>
          <w:rFonts w:ascii="Arial" w:hAnsi="Arial" w:cs="Arial"/>
          <w:lang w:eastAsia="en-GB"/>
        </w:rPr>
        <w:t xml:space="preserve"> was felt to be important in attracting people to the service who at present have no interest at all believing incorrectly that it couldn’t be the </w:t>
      </w:r>
      <w:r w:rsidRPr="00CC4516">
        <w:rPr>
          <w:rFonts w:ascii="Arial" w:hAnsi="Arial" w:cs="Arial"/>
          <w:lang w:eastAsia="en-GB"/>
        </w:rPr>
        <w:lastRenderedPageBreak/>
        <w:t>job for them. Discussion with the Home Office in terms of supporting such an approach has been constructive</w:t>
      </w:r>
      <w:r w:rsidR="00BA10C9" w:rsidRPr="00CC4516">
        <w:rPr>
          <w:rFonts w:ascii="Arial" w:hAnsi="Arial" w:cs="Arial"/>
          <w:lang w:eastAsia="en-GB"/>
        </w:rPr>
        <w:t xml:space="preserve"> and they have volunteered to attend the next meeting of the IFSG to explain about the work they currently have in hand and to hear more from the group on this matter. </w:t>
      </w:r>
    </w:p>
    <w:sectPr w:rsidR="001C730F" w:rsidRPr="00CC4516" w:rsidSect="00CC4516">
      <w:headerReference w:type="default" r:id="rId16"/>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744E4" w14:textId="77777777" w:rsidR="002E71E2" w:rsidRDefault="002E71E2">
      <w:r>
        <w:separator/>
      </w:r>
    </w:p>
  </w:endnote>
  <w:endnote w:type="continuationSeparator" w:id="0">
    <w:p w14:paraId="3991F7E4" w14:textId="77777777" w:rsidR="002E71E2" w:rsidRDefault="002E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DCAA" w14:textId="77777777" w:rsidR="002E71E2" w:rsidRDefault="002E71E2">
      <w:r>
        <w:separator/>
      </w:r>
    </w:p>
  </w:footnote>
  <w:footnote w:type="continuationSeparator" w:id="0">
    <w:p w14:paraId="74A43344" w14:textId="77777777" w:rsidR="002E71E2" w:rsidRDefault="002E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28B6" w14:textId="77777777" w:rsidR="00CC4516" w:rsidRDefault="00CC4516"/>
  <w:tbl>
    <w:tblPr>
      <w:tblW w:w="0" w:type="auto"/>
      <w:tblLook w:val="01E0" w:firstRow="1" w:lastRow="1" w:firstColumn="1" w:lastColumn="1" w:noHBand="0" w:noVBand="0"/>
    </w:tblPr>
    <w:tblGrid>
      <w:gridCol w:w="5778"/>
      <w:gridCol w:w="3509"/>
    </w:tblGrid>
    <w:tr w:rsidR="002405FE" w:rsidRPr="00772F4A" w14:paraId="71C31828" w14:textId="77777777" w:rsidTr="00772F4A">
      <w:tc>
        <w:tcPr>
          <w:tcW w:w="5778" w:type="dxa"/>
          <w:vMerge w:val="restart"/>
          <w:shd w:val="clear" w:color="auto" w:fill="auto"/>
          <w:hideMark/>
        </w:tcPr>
        <w:p w14:paraId="1E3C95FA" w14:textId="77777777" w:rsidR="002405FE" w:rsidRDefault="002405FE" w:rsidP="00772F4A">
          <w:pPr>
            <w:pStyle w:val="Header"/>
          </w:pPr>
          <w:r>
            <w:rPr>
              <w:noProof/>
              <w:lang w:eastAsia="en-GB"/>
            </w:rPr>
            <w:drawing>
              <wp:inline distT="0" distB="0" distL="0" distR="0" wp14:anchorId="218E72A4" wp14:editId="70D0CA27">
                <wp:extent cx="1085850" cy="64770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p w14:paraId="155252B8" w14:textId="77777777" w:rsidR="00CC4516" w:rsidRDefault="00CC4516" w:rsidP="00772F4A">
          <w:pPr>
            <w:pStyle w:val="Header"/>
          </w:pPr>
        </w:p>
      </w:tc>
      <w:tc>
        <w:tcPr>
          <w:tcW w:w="3509" w:type="dxa"/>
          <w:shd w:val="clear" w:color="auto" w:fill="auto"/>
          <w:hideMark/>
        </w:tcPr>
        <w:p w14:paraId="123C077B" w14:textId="77777777" w:rsidR="002405FE" w:rsidRDefault="002405FE" w:rsidP="009D4A1C">
          <w:pPr>
            <w:pStyle w:val="Header"/>
            <w:rPr>
              <w:rFonts w:ascii="Arial" w:hAnsi="Arial" w:cs="Arial"/>
              <w:b/>
            </w:rPr>
          </w:pPr>
          <w:r w:rsidRPr="00C23A63">
            <w:rPr>
              <w:rFonts w:ascii="Arial" w:hAnsi="Arial" w:cs="Arial"/>
              <w:b/>
            </w:rPr>
            <w:t xml:space="preserve">Fire </w:t>
          </w:r>
          <w:r>
            <w:rPr>
              <w:rFonts w:ascii="Arial" w:hAnsi="Arial" w:cs="Arial"/>
              <w:b/>
            </w:rPr>
            <w:t>Services Management Committee</w:t>
          </w:r>
          <w:r w:rsidRPr="00C23A63">
            <w:rPr>
              <w:rFonts w:ascii="Arial" w:hAnsi="Arial" w:cs="Arial"/>
              <w:b/>
            </w:rPr>
            <w:t xml:space="preserve"> </w:t>
          </w:r>
        </w:p>
        <w:p w14:paraId="23F7BAB9" w14:textId="77777777" w:rsidR="00CC4516" w:rsidRPr="00C23A63" w:rsidRDefault="00CC4516" w:rsidP="009D4A1C">
          <w:pPr>
            <w:pStyle w:val="Header"/>
            <w:rPr>
              <w:b/>
            </w:rPr>
          </w:pPr>
        </w:p>
      </w:tc>
    </w:tr>
    <w:tr w:rsidR="002405FE" w:rsidRPr="00772F4A" w14:paraId="659231B3" w14:textId="77777777" w:rsidTr="009B0176">
      <w:trPr>
        <w:trHeight w:val="450"/>
      </w:trPr>
      <w:tc>
        <w:tcPr>
          <w:tcW w:w="0" w:type="auto"/>
          <w:vMerge/>
          <w:shd w:val="clear" w:color="auto" w:fill="auto"/>
          <w:vAlign w:val="center"/>
          <w:hideMark/>
        </w:tcPr>
        <w:p w14:paraId="6482A546" w14:textId="77777777" w:rsidR="002405FE" w:rsidRDefault="002405FE"/>
      </w:tc>
      <w:tc>
        <w:tcPr>
          <w:tcW w:w="3509" w:type="dxa"/>
          <w:shd w:val="clear" w:color="auto" w:fill="auto"/>
        </w:tcPr>
        <w:p w14:paraId="030B5A41" w14:textId="77777777" w:rsidR="002405FE" w:rsidRPr="00C23A63" w:rsidRDefault="002405FE" w:rsidP="00CC4516">
          <w:pPr>
            <w:pStyle w:val="Header"/>
            <w:spacing w:before="60"/>
            <w:rPr>
              <w:rFonts w:ascii="Arial" w:hAnsi="Arial" w:cs="Arial"/>
            </w:rPr>
          </w:pPr>
          <w:r>
            <w:rPr>
              <w:rFonts w:ascii="Arial" w:hAnsi="Arial" w:cs="Arial"/>
            </w:rPr>
            <w:t>17</w:t>
          </w:r>
          <w:r w:rsidR="00CC4516">
            <w:rPr>
              <w:rFonts w:ascii="Arial" w:hAnsi="Arial" w:cs="Arial"/>
              <w:vertAlign w:val="superscript"/>
            </w:rPr>
            <w:t xml:space="preserve"> </w:t>
          </w:r>
          <w:r>
            <w:rPr>
              <w:rFonts w:ascii="Arial" w:hAnsi="Arial" w:cs="Arial"/>
            </w:rPr>
            <w:t>November 2017</w:t>
          </w:r>
        </w:p>
      </w:tc>
    </w:tr>
  </w:tbl>
  <w:p w14:paraId="348981D0" w14:textId="77777777" w:rsidR="002405FE" w:rsidRPr="00043343" w:rsidRDefault="002405FE"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3E3"/>
    <w:multiLevelType w:val="hybridMultilevel"/>
    <w:tmpl w:val="4D9CCF7E"/>
    <w:lvl w:ilvl="0" w:tplc="9BB4F27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76B3E"/>
    <w:multiLevelType w:val="hybridMultilevel"/>
    <w:tmpl w:val="CA5844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D601CAB"/>
    <w:multiLevelType w:val="hybridMultilevel"/>
    <w:tmpl w:val="E4C60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D56D5C"/>
    <w:multiLevelType w:val="hybridMultilevel"/>
    <w:tmpl w:val="BC686C62"/>
    <w:lvl w:ilvl="0" w:tplc="4AD2E2A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81582"/>
    <w:multiLevelType w:val="hybridMultilevel"/>
    <w:tmpl w:val="66F649BA"/>
    <w:lvl w:ilvl="0" w:tplc="D8C8F64A">
      <w:start w:val="1"/>
      <w:numFmt w:val="decimal"/>
      <w:lvlText w:val="%1."/>
      <w:lvlJc w:val="left"/>
      <w:pPr>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A6773"/>
    <w:multiLevelType w:val="hybridMultilevel"/>
    <w:tmpl w:val="37B82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2711E"/>
    <w:multiLevelType w:val="hybridMultilevel"/>
    <w:tmpl w:val="94F62996"/>
    <w:lvl w:ilvl="0" w:tplc="CE3082CE">
      <w:start w:val="1"/>
      <w:numFmt w:val="bullet"/>
      <w:lvlText w:val="–"/>
      <w:lvlJc w:val="left"/>
      <w:pPr>
        <w:tabs>
          <w:tab w:val="num" w:pos="720"/>
        </w:tabs>
        <w:ind w:left="720" w:hanging="360"/>
      </w:pPr>
      <w:rPr>
        <w:rFonts w:ascii="Times New Roman" w:hAnsi="Times New Roman" w:hint="default"/>
      </w:rPr>
    </w:lvl>
    <w:lvl w:ilvl="1" w:tplc="A0FC80A6">
      <w:start w:val="1"/>
      <w:numFmt w:val="bullet"/>
      <w:lvlText w:val="–"/>
      <w:lvlJc w:val="left"/>
      <w:pPr>
        <w:tabs>
          <w:tab w:val="num" w:pos="1440"/>
        </w:tabs>
        <w:ind w:left="1440" w:hanging="360"/>
      </w:pPr>
      <w:rPr>
        <w:rFonts w:ascii="Times New Roman" w:hAnsi="Times New Roman" w:hint="default"/>
      </w:rPr>
    </w:lvl>
    <w:lvl w:ilvl="2" w:tplc="D150A798" w:tentative="1">
      <w:start w:val="1"/>
      <w:numFmt w:val="bullet"/>
      <w:lvlText w:val="–"/>
      <w:lvlJc w:val="left"/>
      <w:pPr>
        <w:tabs>
          <w:tab w:val="num" w:pos="2160"/>
        </w:tabs>
        <w:ind w:left="2160" w:hanging="360"/>
      </w:pPr>
      <w:rPr>
        <w:rFonts w:ascii="Times New Roman" w:hAnsi="Times New Roman" w:hint="default"/>
      </w:rPr>
    </w:lvl>
    <w:lvl w:ilvl="3" w:tplc="035AD814" w:tentative="1">
      <w:start w:val="1"/>
      <w:numFmt w:val="bullet"/>
      <w:lvlText w:val="–"/>
      <w:lvlJc w:val="left"/>
      <w:pPr>
        <w:tabs>
          <w:tab w:val="num" w:pos="2880"/>
        </w:tabs>
        <w:ind w:left="2880" w:hanging="360"/>
      </w:pPr>
      <w:rPr>
        <w:rFonts w:ascii="Times New Roman" w:hAnsi="Times New Roman" w:hint="default"/>
      </w:rPr>
    </w:lvl>
    <w:lvl w:ilvl="4" w:tplc="1666AD88" w:tentative="1">
      <w:start w:val="1"/>
      <w:numFmt w:val="bullet"/>
      <w:lvlText w:val="–"/>
      <w:lvlJc w:val="left"/>
      <w:pPr>
        <w:tabs>
          <w:tab w:val="num" w:pos="3600"/>
        </w:tabs>
        <w:ind w:left="3600" w:hanging="360"/>
      </w:pPr>
      <w:rPr>
        <w:rFonts w:ascii="Times New Roman" w:hAnsi="Times New Roman" w:hint="default"/>
      </w:rPr>
    </w:lvl>
    <w:lvl w:ilvl="5" w:tplc="E0689D9E" w:tentative="1">
      <w:start w:val="1"/>
      <w:numFmt w:val="bullet"/>
      <w:lvlText w:val="–"/>
      <w:lvlJc w:val="left"/>
      <w:pPr>
        <w:tabs>
          <w:tab w:val="num" w:pos="4320"/>
        </w:tabs>
        <w:ind w:left="4320" w:hanging="360"/>
      </w:pPr>
      <w:rPr>
        <w:rFonts w:ascii="Times New Roman" w:hAnsi="Times New Roman" w:hint="default"/>
      </w:rPr>
    </w:lvl>
    <w:lvl w:ilvl="6" w:tplc="39189EB0" w:tentative="1">
      <w:start w:val="1"/>
      <w:numFmt w:val="bullet"/>
      <w:lvlText w:val="–"/>
      <w:lvlJc w:val="left"/>
      <w:pPr>
        <w:tabs>
          <w:tab w:val="num" w:pos="5040"/>
        </w:tabs>
        <w:ind w:left="5040" w:hanging="360"/>
      </w:pPr>
      <w:rPr>
        <w:rFonts w:ascii="Times New Roman" w:hAnsi="Times New Roman" w:hint="default"/>
      </w:rPr>
    </w:lvl>
    <w:lvl w:ilvl="7" w:tplc="63A08406" w:tentative="1">
      <w:start w:val="1"/>
      <w:numFmt w:val="bullet"/>
      <w:lvlText w:val="–"/>
      <w:lvlJc w:val="left"/>
      <w:pPr>
        <w:tabs>
          <w:tab w:val="num" w:pos="5760"/>
        </w:tabs>
        <w:ind w:left="5760" w:hanging="360"/>
      </w:pPr>
      <w:rPr>
        <w:rFonts w:ascii="Times New Roman" w:hAnsi="Times New Roman" w:hint="default"/>
      </w:rPr>
    </w:lvl>
    <w:lvl w:ilvl="8" w:tplc="7444F3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A4021A"/>
    <w:multiLevelType w:val="multilevel"/>
    <w:tmpl w:val="8A5A061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740B54"/>
    <w:multiLevelType w:val="hybridMultilevel"/>
    <w:tmpl w:val="BECE60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F646755"/>
    <w:multiLevelType w:val="multilevel"/>
    <w:tmpl w:val="FE8E2B0E"/>
    <w:lvl w:ilvl="0">
      <w:start w:val="1"/>
      <w:numFmt w:val="decimal"/>
      <w:lvlText w:val="%1."/>
      <w:lvlJc w:val="left"/>
      <w:pPr>
        <w:ind w:left="502" w:hanging="360"/>
      </w:pPr>
      <w:rPr>
        <w:rFonts w:ascii="Arial" w:hAnsi="Arial" w:cs="Arial" w:hint="default"/>
        <w:sz w:val="22"/>
        <w:szCs w:val="22"/>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15:restartNumberingAfterBreak="0">
    <w:nsid w:val="666872BD"/>
    <w:multiLevelType w:val="hybridMultilevel"/>
    <w:tmpl w:val="BC686C62"/>
    <w:lvl w:ilvl="0" w:tplc="4AD2E2A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C1A4D"/>
    <w:multiLevelType w:val="hybridMultilevel"/>
    <w:tmpl w:val="7930AA2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EE78A4"/>
    <w:multiLevelType w:val="hybridMultilevel"/>
    <w:tmpl w:val="F48C5138"/>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DEA5090"/>
    <w:multiLevelType w:val="hybridMultilevel"/>
    <w:tmpl w:val="C70EF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10"/>
  </w:num>
  <w:num w:numId="7">
    <w:abstractNumId w:val="3"/>
  </w:num>
  <w:num w:numId="8">
    <w:abstractNumId w:val="9"/>
  </w:num>
  <w:num w:numId="9">
    <w:abstractNumId w:val="2"/>
  </w:num>
  <w:num w:numId="10">
    <w:abstractNumId w:val="13"/>
  </w:num>
  <w:num w:numId="11">
    <w:abstractNumId w:val="0"/>
  </w:num>
  <w:num w:numId="12">
    <w:abstractNumId w:val="12"/>
  </w:num>
  <w:num w:numId="13">
    <w:abstractNumId w:val="11"/>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3529"/>
    <w:rsid w:val="000145BA"/>
    <w:rsid w:val="000146BA"/>
    <w:rsid w:val="00014A67"/>
    <w:rsid w:val="0001706F"/>
    <w:rsid w:val="000205BB"/>
    <w:rsid w:val="0002207F"/>
    <w:rsid w:val="000226E9"/>
    <w:rsid w:val="00022BF1"/>
    <w:rsid w:val="00025576"/>
    <w:rsid w:val="00025696"/>
    <w:rsid w:val="00033C6D"/>
    <w:rsid w:val="00034EED"/>
    <w:rsid w:val="000415B5"/>
    <w:rsid w:val="00043343"/>
    <w:rsid w:val="00043CCA"/>
    <w:rsid w:val="00043F05"/>
    <w:rsid w:val="000477C3"/>
    <w:rsid w:val="00050376"/>
    <w:rsid w:val="0005198E"/>
    <w:rsid w:val="000527E4"/>
    <w:rsid w:val="00054AB9"/>
    <w:rsid w:val="000608A1"/>
    <w:rsid w:val="00063301"/>
    <w:rsid w:val="00063A3F"/>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695C"/>
    <w:rsid w:val="000A026A"/>
    <w:rsid w:val="000A0D97"/>
    <w:rsid w:val="000A22B8"/>
    <w:rsid w:val="000A2324"/>
    <w:rsid w:val="000A24CE"/>
    <w:rsid w:val="000A564F"/>
    <w:rsid w:val="000A62C9"/>
    <w:rsid w:val="000B1DE8"/>
    <w:rsid w:val="000B70A7"/>
    <w:rsid w:val="000C1EB5"/>
    <w:rsid w:val="000C1EFB"/>
    <w:rsid w:val="000C1F43"/>
    <w:rsid w:val="000C2CD2"/>
    <w:rsid w:val="000C2DBA"/>
    <w:rsid w:val="000C51A1"/>
    <w:rsid w:val="000C635B"/>
    <w:rsid w:val="000D2116"/>
    <w:rsid w:val="000D63A0"/>
    <w:rsid w:val="000E38E2"/>
    <w:rsid w:val="000E4B68"/>
    <w:rsid w:val="000F2893"/>
    <w:rsid w:val="000F4818"/>
    <w:rsid w:val="000F4F78"/>
    <w:rsid w:val="000F5ACE"/>
    <w:rsid w:val="00101100"/>
    <w:rsid w:val="00104D52"/>
    <w:rsid w:val="00105DCE"/>
    <w:rsid w:val="0010780C"/>
    <w:rsid w:val="00111380"/>
    <w:rsid w:val="001161DB"/>
    <w:rsid w:val="001214B0"/>
    <w:rsid w:val="00123087"/>
    <w:rsid w:val="001255DC"/>
    <w:rsid w:val="001268BF"/>
    <w:rsid w:val="00127A20"/>
    <w:rsid w:val="00130030"/>
    <w:rsid w:val="00131727"/>
    <w:rsid w:val="00131A9C"/>
    <w:rsid w:val="001324CB"/>
    <w:rsid w:val="00132878"/>
    <w:rsid w:val="001402E3"/>
    <w:rsid w:val="00144D51"/>
    <w:rsid w:val="00147261"/>
    <w:rsid w:val="0014729B"/>
    <w:rsid w:val="001477C4"/>
    <w:rsid w:val="00151FA4"/>
    <w:rsid w:val="00154175"/>
    <w:rsid w:val="00154A7D"/>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645A"/>
    <w:rsid w:val="00187525"/>
    <w:rsid w:val="00192A44"/>
    <w:rsid w:val="00193D07"/>
    <w:rsid w:val="00195347"/>
    <w:rsid w:val="00196D51"/>
    <w:rsid w:val="00196FE5"/>
    <w:rsid w:val="001970BA"/>
    <w:rsid w:val="001A4F7A"/>
    <w:rsid w:val="001A706D"/>
    <w:rsid w:val="001A7992"/>
    <w:rsid w:val="001A7B18"/>
    <w:rsid w:val="001B02DC"/>
    <w:rsid w:val="001B4071"/>
    <w:rsid w:val="001C007C"/>
    <w:rsid w:val="001C013A"/>
    <w:rsid w:val="001C5596"/>
    <w:rsid w:val="001C6188"/>
    <w:rsid w:val="001C730F"/>
    <w:rsid w:val="001C760D"/>
    <w:rsid w:val="001C7E30"/>
    <w:rsid w:val="001C7F45"/>
    <w:rsid w:val="001D1886"/>
    <w:rsid w:val="001D3024"/>
    <w:rsid w:val="001D3AC0"/>
    <w:rsid w:val="001E0CB8"/>
    <w:rsid w:val="001E29A8"/>
    <w:rsid w:val="001E41A2"/>
    <w:rsid w:val="001E64D3"/>
    <w:rsid w:val="001E6830"/>
    <w:rsid w:val="001E7BD6"/>
    <w:rsid w:val="001E7DCF"/>
    <w:rsid w:val="001F1A46"/>
    <w:rsid w:val="001F3BDB"/>
    <w:rsid w:val="001F75CB"/>
    <w:rsid w:val="001F7B76"/>
    <w:rsid w:val="00200194"/>
    <w:rsid w:val="002015B8"/>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5FE"/>
    <w:rsid w:val="0024075F"/>
    <w:rsid w:val="00241206"/>
    <w:rsid w:val="00242CF4"/>
    <w:rsid w:val="00244EFF"/>
    <w:rsid w:val="002508F2"/>
    <w:rsid w:val="002510BF"/>
    <w:rsid w:val="00253295"/>
    <w:rsid w:val="00253F36"/>
    <w:rsid w:val="00256D32"/>
    <w:rsid w:val="002612B8"/>
    <w:rsid w:val="00261586"/>
    <w:rsid w:val="0026368B"/>
    <w:rsid w:val="002668FE"/>
    <w:rsid w:val="00267633"/>
    <w:rsid w:val="00270F35"/>
    <w:rsid w:val="00274460"/>
    <w:rsid w:val="002814CF"/>
    <w:rsid w:val="002878F6"/>
    <w:rsid w:val="00290353"/>
    <w:rsid w:val="00290BED"/>
    <w:rsid w:val="0029269B"/>
    <w:rsid w:val="002951E3"/>
    <w:rsid w:val="002952F6"/>
    <w:rsid w:val="00296B9B"/>
    <w:rsid w:val="0029786F"/>
    <w:rsid w:val="002A08F8"/>
    <w:rsid w:val="002A4764"/>
    <w:rsid w:val="002A4F8A"/>
    <w:rsid w:val="002A5539"/>
    <w:rsid w:val="002A6510"/>
    <w:rsid w:val="002A6A5C"/>
    <w:rsid w:val="002B0065"/>
    <w:rsid w:val="002B1DCE"/>
    <w:rsid w:val="002B4F04"/>
    <w:rsid w:val="002C369C"/>
    <w:rsid w:val="002D10C3"/>
    <w:rsid w:val="002D10D4"/>
    <w:rsid w:val="002D2F64"/>
    <w:rsid w:val="002D3B1A"/>
    <w:rsid w:val="002D480C"/>
    <w:rsid w:val="002D588F"/>
    <w:rsid w:val="002E5B16"/>
    <w:rsid w:val="002E6900"/>
    <w:rsid w:val="002E6EE6"/>
    <w:rsid w:val="002E6F7F"/>
    <w:rsid w:val="002E71E2"/>
    <w:rsid w:val="002F1CF8"/>
    <w:rsid w:val="002F1E95"/>
    <w:rsid w:val="002F54E1"/>
    <w:rsid w:val="00301D54"/>
    <w:rsid w:val="003120D2"/>
    <w:rsid w:val="00315137"/>
    <w:rsid w:val="00315515"/>
    <w:rsid w:val="003175DF"/>
    <w:rsid w:val="003179B5"/>
    <w:rsid w:val="00322AE1"/>
    <w:rsid w:val="0032337C"/>
    <w:rsid w:val="00326036"/>
    <w:rsid w:val="003309CD"/>
    <w:rsid w:val="0033369E"/>
    <w:rsid w:val="0033506B"/>
    <w:rsid w:val="00335A45"/>
    <w:rsid w:val="00337193"/>
    <w:rsid w:val="00337DC9"/>
    <w:rsid w:val="003409D7"/>
    <w:rsid w:val="00347807"/>
    <w:rsid w:val="00347B48"/>
    <w:rsid w:val="0035044B"/>
    <w:rsid w:val="0035120B"/>
    <w:rsid w:val="003548B2"/>
    <w:rsid w:val="00354AA7"/>
    <w:rsid w:val="0035633C"/>
    <w:rsid w:val="00362864"/>
    <w:rsid w:val="0036302B"/>
    <w:rsid w:val="00363CDE"/>
    <w:rsid w:val="00364207"/>
    <w:rsid w:val="003654DF"/>
    <w:rsid w:val="003659EF"/>
    <w:rsid w:val="003674A3"/>
    <w:rsid w:val="00376697"/>
    <w:rsid w:val="00376FDF"/>
    <w:rsid w:val="00377E50"/>
    <w:rsid w:val="00381991"/>
    <w:rsid w:val="00384643"/>
    <w:rsid w:val="003857AB"/>
    <w:rsid w:val="00390079"/>
    <w:rsid w:val="0039389F"/>
    <w:rsid w:val="0039506E"/>
    <w:rsid w:val="003957FB"/>
    <w:rsid w:val="00395EB4"/>
    <w:rsid w:val="0039691D"/>
    <w:rsid w:val="003A3FCF"/>
    <w:rsid w:val="003A6523"/>
    <w:rsid w:val="003A6750"/>
    <w:rsid w:val="003B14EF"/>
    <w:rsid w:val="003B3E02"/>
    <w:rsid w:val="003B41B6"/>
    <w:rsid w:val="003B509A"/>
    <w:rsid w:val="003B6B91"/>
    <w:rsid w:val="003C0EF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2309"/>
    <w:rsid w:val="0042375C"/>
    <w:rsid w:val="00424F55"/>
    <w:rsid w:val="00426B37"/>
    <w:rsid w:val="00430A73"/>
    <w:rsid w:val="004311A2"/>
    <w:rsid w:val="004316A9"/>
    <w:rsid w:val="00432207"/>
    <w:rsid w:val="00434509"/>
    <w:rsid w:val="0043499F"/>
    <w:rsid w:val="00435012"/>
    <w:rsid w:val="00435643"/>
    <w:rsid w:val="0044105A"/>
    <w:rsid w:val="00442978"/>
    <w:rsid w:val="00442D27"/>
    <w:rsid w:val="00446200"/>
    <w:rsid w:val="0044781D"/>
    <w:rsid w:val="004515A6"/>
    <w:rsid w:val="00451CE6"/>
    <w:rsid w:val="00455E18"/>
    <w:rsid w:val="00456A21"/>
    <w:rsid w:val="004578A5"/>
    <w:rsid w:val="00460F5F"/>
    <w:rsid w:val="00464981"/>
    <w:rsid w:val="00465182"/>
    <w:rsid w:val="00465802"/>
    <w:rsid w:val="00467DBF"/>
    <w:rsid w:val="0048348B"/>
    <w:rsid w:val="00487760"/>
    <w:rsid w:val="00495081"/>
    <w:rsid w:val="004966C5"/>
    <w:rsid w:val="004A4AEB"/>
    <w:rsid w:val="004A5DBB"/>
    <w:rsid w:val="004A628C"/>
    <w:rsid w:val="004A7A7D"/>
    <w:rsid w:val="004A7DA6"/>
    <w:rsid w:val="004B6432"/>
    <w:rsid w:val="004C67E5"/>
    <w:rsid w:val="004C7602"/>
    <w:rsid w:val="004C7948"/>
    <w:rsid w:val="004D2754"/>
    <w:rsid w:val="004D305E"/>
    <w:rsid w:val="004D4EEF"/>
    <w:rsid w:val="004D5B27"/>
    <w:rsid w:val="004D5F3C"/>
    <w:rsid w:val="004D7718"/>
    <w:rsid w:val="004D78DA"/>
    <w:rsid w:val="004E0341"/>
    <w:rsid w:val="004E0973"/>
    <w:rsid w:val="004E1A76"/>
    <w:rsid w:val="004E53B7"/>
    <w:rsid w:val="004E5A7E"/>
    <w:rsid w:val="004E622C"/>
    <w:rsid w:val="004F4241"/>
    <w:rsid w:val="004F4419"/>
    <w:rsid w:val="004F580E"/>
    <w:rsid w:val="00504F21"/>
    <w:rsid w:val="00505E0D"/>
    <w:rsid w:val="00506C80"/>
    <w:rsid w:val="00510886"/>
    <w:rsid w:val="00512B69"/>
    <w:rsid w:val="00516B93"/>
    <w:rsid w:val="00517D53"/>
    <w:rsid w:val="0052022F"/>
    <w:rsid w:val="005247CA"/>
    <w:rsid w:val="00524D26"/>
    <w:rsid w:val="00525554"/>
    <w:rsid w:val="0052612B"/>
    <w:rsid w:val="0052652E"/>
    <w:rsid w:val="00526C2D"/>
    <w:rsid w:val="005317AA"/>
    <w:rsid w:val="00532805"/>
    <w:rsid w:val="005376C7"/>
    <w:rsid w:val="00537CF6"/>
    <w:rsid w:val="0054356B"/>
    <w:rsid w:val="00543E51"/>
    <w:rsid w:val="00544A84"/>
    <w:rsid w:val="00544FCD"/>
    <w:rsid w:val="00550E63"/>
    <w:rsid w:val="005514A6"/>
    <w:rsid w:val="005516A0"/>
    <w:rsid w:val="005516E9"/>
    <w:rsid w:val="0055540C"/>
    <w:rsid w:val="00555832"/>
    <w:rsid w:val="00560C0E"/>
    <w:rsid w:val="00560EF2"/>
    <w:rsid w:val="00561D6B"/>
    <w:rsid w:val="00565A52"/>
    <w:rsid w:val="00567898"/>
    <w:rsid w:val="0057038C"/>
    <w:rsid w:val="005719A8"/>
    <w:rsid w:val="00572789"/>
    <w:rsid w:val="005735F8"/>
    <w:rsid w:val="00580095"/>
    <w:rsid w:val="00581916"/>
    <w:rsid w:val="00583BE0"/>
    <w:rsid w:val="00584DB5"/>
    <w:rsid w:val="0058702B"/>
    <w:rsid w:val="00592441"/>
    <w:rsid w:val="00594891"/>
    <w:rsid w:val="00595645"/>
    <w:rsid w:val="005967DC"/>
    <w:rsid w:val="005B281B"/>
    <w:rsid w:val="005B3A79"/>
    <w:rsid w:val="005B4A0B"/>
    <w:rsid w:val="005B56C6"/>
    <w:rsid w:val="005B5F6F"/>
    <w:rsid w:val="005B6CF7"/>
    <w:rsid w:val="005B70D2"/>
    <w:rsid w:val="005B7DBD"/>
    <w:rsid w:val="005C0100"/>
    <w:rsid w:val="005C4603"/>
    <w:rsid w:val="005C557F"/>
    <w:rsid w:val="005C5CF9"/>
    <w:rsid w:val="005C6DEE"/>
    <w:rsid w:val="005D124B"/>
    <w:rsid w:val="005D19E1"/>
    <w:rsid w:val="005D3AD4"/>
    <w:rsid w:val="005D3BC6"/>
    <w:rsid w:val="005D5296"/>
    <w:rsid w:val="005D5974"/>
    <w:rsid w:val="005D6057"/>
    <w:rsid w:val="005D780B"/>
    <w:rsid w:val="005D7B8B"/>
    <w:rsid w:val="005E23F7"/>
    <w:rsid w:val="005E24CB"/>
    <w:rsid w:val="005E44C1"/>
    <w:rsid w:val="005F0C67"/>
    <w:rsid w:val="005F0FD2"/>
    <w:rsid w:val="005F219F"/>
    <w:rsid w:val="005F5C2A"/>
    <w:rsid w:val="00600AD5"/>
    <w:rsid w:val="006020A5"/>
    <w:rsid w:val="006031D6"/>
    <w:rsid w:val="00604033"/>
    <w:rsid w:val="00604BDF"/>
    <w:rsid w:val="00605D2D"/>
    <w:rsid w:val="006067AC"/>
    <w:rsid w:val="00610BF4"/>
    <w:rsid w:val="00612720"/>
    <w:rsid w:val="00615068"/>
    <w:rsid w:val="006209A1"/>
    <w:rsid w:val="00622BBC"/>
    <w:rsid w:val="0062392B"/>
    <w:rsid w:val="00626BE3"/>
    <w:rsid w:val="00632759"/>
    <w:rsid w:val="00632BB7"/>
    <w:rsid w:val="00637950"/>
    <w:rsid w:val="00641D5C"/>
    <w:rsid w:val="006426FD"/>
    <w:rsid w:val="006429EB"/>
    <w:rsid w:val="0064362A"/>
    <w:rsid w:val="00646D07"/>
    <w:rsid w:val="006532E8"/>
    <w:rsid w:val="0066217E"/>
    <w:rsid w:val="00665EAE"/>
    <w:rsid w:val="00672DA0"/>
    <w:rsid w:val="00672DCD"/>
    <w:rsid w:val="00680230"/>
    <w:rsid w:val="006805C1"/>
    <w:rsid w:val="00681964"/>
    <w:rsid w:val="00683803"/>
    <w:rsid w:val="00687360"/>
    <w:rsid w:val="0069172D"/>
    <w:rsid w:val="00692D93"/>
    <w:rsid w:val="0069523A"/>
    <w:rsid w:val="00696D68"/>
    <w:rsid w:val="006A14B8"/>
    <w:rsid w:val="006A2DDE"/>
    <w:rsid w:val="006A427B"/>
    <w:rsid w:val="006A49EC"/>
    <w:rsid w:val="006B0E4B"/>
    <w:rsid w:val="006B263C"/>
    <w:rsid w:val="006B647F"/>
    <w:rsid w:val="006B7D47"/>
    <w:rsid w:val="006C0290"/>
    <w:rsid w:val="006C034E"/>
    <w:rsid w:val="006C2786"/>
    <w:rsid w:val="006C3EF6"/>
    <w:rsid w:val="006C4D0D"/>
    <w:rsid w:val="006D42E1"/>
    <w:rsid w:val="006D5533"/>
    <w:rsid w:val="006D7E52"/>
    <w:rsid w:val="006E0EF1"/>
    <w:rsid w:val="006E2DE6"/>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5090"/>
    <w:rsid w:val="0073609F"/>
    <w:rsid w:val="00737D8D"/>
    <w:rsid w:val="007451BB"/>
    <w:rsid w:val="007540F4"/>
    <w:rsid w:val="00756399"/>
    <w:rsid w:val="00756E5C"/>
    <w:rsid w:val="00761D70"/>
    <w:rsid w:val="0076705E"/>
    <w:rsid w:val="00771BCA"/>
    <w:rsid w:val="00771E17"/>
    <w:rsid w:val="00772F4A"/>
    <w:rsid w:val="00775FD4"/>
    <w:rsid w:val="0078208E"/>
    <w:rsid w:val="0078238E"/>
    <w:rsid w:val="00786BC7"/>
    <w:rsid w:val="00786DFB"/>
    <w:rsid w:val="007870A7"/>
    <w:rsid w:val="00790199"/>
    <w:rsid w:val="007906EC"/>
    <w:rsid w:val="00792EE4"/>
    <w:rsid w:val="00792F6F"/>
    <w:rsid w:val="00793402"/>
    <w:rsid w:val="00793DB3"/>
    <w:rsid w:val="007949D9"/>
    <w:rsid w:val="00794D80"/>
    <w:rsid w:val="007A017E"/>
    <w:rsid w:val="007A05B7"/>
    <w:rsid w:val="007A2435"/>
    <w:rsid w:val="007A2800"/>
    <w:rsid w:val="007A32E5"/>
    <w:rsid w:val="007A4350"/>
    <w:rsid w:val="007A4B49"/>
    <w:rsid w:val="007A4EBF"/>
    <w:rsid w:val="007B20F5"/>
    <w:rsid w:val="007B4A23"/>
    <w:rsid w:val="007B5B17"/>
    <w:rsid w:val="007B5D80"/>
    <w:rsid w:val="007B7ED9"/>
    <w:rsid w:val="007C0EC8"/>
    <w:rsid w:val="007C247A"/>
    <w:rsid w:val="007C46B5"/>
    <w:rsid w:val="007C4D52"/>
    <w:rsid w:val="007C515F"/>
    <w:rsid w:val="007D05C8"/>
    <w:rsid w:val="007D0A46"/>
    <w:rsid w:val="007D44A1"/>
    <w:rsid w:val="007E01EB"/>
    <w:rsid w:val="007E0C78"/>
    <w:rsid w:val="007E1C59"/>
    <w:rsid w:val="007E63FA"/>
    <w:rsid w:val="007E7743"/>
    <w:rsid w:val="007F01A4"/>
    <w:rsid w:val="007F2205"/>
    <w:rsid w:val="007F47FF"/>
    <w:rsid w:val="007F5E73"/>
    <w:rsid w:val="007F6A8D"/>
    <w:rsid w:val="00802B72"/>
    <w:rsid w:val="00802F09"/>
    <w:rsid w:val="00812A16"/>
    <w:rsid w:val="008154AC"/>
    <w:rsid w:val="00816887"/>
    <w:rsid w:val="008168C7"/>
    <w:rsid w:val="00817121"/>
    <w:rsid w:val="00817DF7"/>
    <w:rsid w:val="008209E1"/>
    <w:rsid w:val="00821A2C"/>
    <w:rsid w:val="00824D4A"/>
    <w:rsid w:val="008269EF"/>
    <w:rsid w:val="0082781C"/>
    <w:rsid w:val="00831258"/>
    <w:rsid w:val="00832D3A"/>
    <w:rsid w:val="00833336"/>
    <w:rsid w:val="00833532"/>
    <w:rsid w:val="00833BEE"/>
    <w:rsid w:val="00836191"/>
    <w:rsid w:val="008375A6"/>
    <w:rsid w:val="0084214C"/>
    <w:rsid w:val="008466DE"/>
    <w:rsid w:val="0084697E"/>
    <w:rsid w:val="00851189"/>
    <w:rsid w:val="008534C3"/>
    <w:rsid w:val="00855DCB"/>
    <w:rsid w:val="0085642F"/>
    <w:rsid w:val="0086146E"/>
    <w:rsid w:val="00880967"/>
    <w:rsid w:val="00881163"/>
    <w:rsid w:val="0088126C"/>
    <w:rsid w:val="008813DB"/>
    <w:rsid w:val="008818E1"/>
    <w:rsid w:val="008839F7"/>
    <w:rsid w:val="00886FD6"/>
    <w:rsid w:val="00887F36"/>
    <w:rsid w:val="00893A84"/>
    <w:rsid w:val="00894A35"/>
    <w:rsid w:val="00895569"/>
    <w:rsid w:val="008974EC"/>
    <w:rsid w:val="008979B1"/>
    <w:rsid w:val="008A0B4B"/>
    <w:rsid w:val="008A0C1C"/>
    <w:rsid w:val="008A1C3A"/>
    <w:rsid w:val="008A581C"/>
    <w:rsid w:val="008A64D8"/>
    <w:rsid w:val="008B219B"/>
    <w:rsid w:val="008B2A7E"/>
    <w:rsid w:val="008C2074"/>
    <w:rsid w:val="008C36D4"/>
    <w:rsid w:val="008C4013"/>
    <w:rsid w:val="008C402E"/>
    <w:rsid w:val="008C541A"/>
    <w:rsid w:val="008C5D6B"/>
    <w:rsid w:val="008C76E1"/>
    <w:rsid w:val="008D019B"/>
    <w:rsid w:val="008D483E"/>
    <w:rsid w:val="008E063E"/>
    <w:rsid w:val="008E100A"/>
    <w:rsid w:val="008E4231"/>
    <w:rsid w:val="008E647D"/>
    <w:rsid w:val="008E7033"/>
    <w:rsid w:val="008E776F"/>
    <w:rsid w:val="008F405E"/>
    <w:rsid w:val="008F431D"/>
    <w:rsid w:val="008F60FF"/>
    <w:rsid w:val="008F7FE9"/>
    <w:rsid w:val="0090276F"/>
    <w:rsid w:val="00904ED7"/>
    <w:rsid w:val="00914B49"/>
    <w:rsid w:val="00915D90"/>
    <w:rsid w:val="009229D6"/>
    <w:rsid w:val="0092381E"/>
    <w:rsid w:val="00932E72"/>
    <w:rsid w:val="0093486A"/>
    <w:rsid w:val="00935B9B"/>
    <w:rsid w:val="00937DAD"/>
    <w:rsid w:val="00941156"/>
    <w:rsid w:val="0094421C"/>
    <w:rsid w:val="00945411"/>
    <w:rsid w:val="009459C8"/>
    <w:rsid w:val="00946B30"/>
    <w:rsid w:val="0095172C"/>
    <w:rsid w:val="00951A65"/>
    <w:rsid w:val="00954FCE"/>
    <w:rsid w:val="00956074"/>
    <w:rsid w:val="00960656"/>
    <w:rsid w:val="00961ABB"/>
    <w:rsid w:val="009621F0"/>
    <w:rsid w:val="00964DF8"/>
    <w:rsid w:val="00972AB8"/>
    <w:rsid w:val="009739CB"/>
    <w:rsid w:val="009749BE"/>
    <w:rsid w:val="009750A0"/>
    <w:rsid w:val="00980682"/>
    <w:rsid w:val="00980D1D"/>
    <w:rsid w:val="009832A4"/>
    <w:rsid w:val="00994EE5"/>
    <w:rsid w:val="009956BD"/>
    <w:rsid w:val="00995CB5"/>
    <w:rsid w:val="009A3F6F"/>
    <w:rsid w:val="009A4AC4"/>
    <w:rsid w:val="009A544B"/>
    <w:rsid w:val="009A55FB"/>
    <w:rsid w:val="009A5EF4"/>
    <w:rsid w:val="009B0176"/>
    <w:rsid w:val="009B03C0"/>
    <w:rsid w:val="009B0583"/>
    <w:rsid w:val="009B0A9D"/>
    <w:rsid w:val="009B1EAC"/>
    <w:rsid w:val="009B43C8"/>
    <w:rsid w:val="009B45EE"/>
    <w:rsid w:val="009B492D"/>
    <w:rsid w:val="009B6B48"/>
    <w:rsid w:val="009C0363"/>
    <w:rsid w:val="009C05F7"/>
    <w:rsid w:val="009C33C2"/>
    <w:rsid w:val="009C68E1"/>
    <w:rsid w:val="009C6C42"/>
    <w:rsid w:val="009D0CCB"/>
    <w:rsid w:val="009D3004"/>
    <w:rsid w:val="009D3FE8"/>
    <w:rsid w:val="009D4327"/>
    <w:rsid w:val="009D4A1C"/>
    <w:rsid w:val="009E0316"/>
    <w:rsid w:val="009E34A3"/>
    <w:rsid w:val="009E3884"/>
    <w:rsid w:val="009E6171"/>
    <w:rsid w:val="009F00E2"/>
    <w:rsid w:val="009F0E1C"/>
    <w:rsid w:val="009F1183"/>
    <w:rsid w:val="009F28C1"/>
    <w:rsid w:val="00A00F6C"/>
    <w:rsid w:val="00A0255D"/>
    <w:rsid w:val="00A044C0"/>
    <w:rsid w:val="00A04C6D"/>
    <w:rsid w:val="00A17C81"/>
    <w:rsid w:val="00A20ED8"/>
    <w:rsid w:val="00A21AA3"/>
    <w:rsid w:val="00A2350B"/>
    <w:rsid w:val="00A273BC"/>
    <w:rsid w:val="00A27C14"/>
    <w:rsid w:val="00A309F3"/>
    <w:rsid w:val="00A32619"/>
    <w:rsid w:val="00A3466C"/>
    <w:rsid w:val="00A35E22"/>
    <w:rsid w:val="00A3609B"/>
    <w:rsid w:val="00A377AE"/>
    <w:rsid w:val="00A42916"/>
    <w:rsid w:val="00A43258"/>
    <w:rsid w:val="00A47446"/>
    <w:rsid w:val="00A53708"/>
    <w:rsid w:val="00A538C6"/>
    <w:rsid w:val="00A60343"/>
    <w:rsid w:val="00A61118"/>
    <w:rsid w:val="00A641EE"/>
    <w:rsid w:val="00A65FAD"/>
    <w:rsid w:val="00A67461"/>
    <w:rsid w:val="00A75046"/>
    <w:rsid w:val="00A802A8"/>
    <w:rsid w:val="00A82AA8"/>
    <w:rsid w:val="00A93395"/>
    <w:rsid w:val="00A94A3A"/>
    <w:rsid w:val="00A94C30"/>
    <w:rsid w:val="00A95EC5"/>
    <w:rsid w:val="00A96261"/>
    <w:rsid w:val="00AA1AE3"/>
    <w:rsid w:val="00AA2C6F"/>
    <w:rsid w:val="00AA39D3"/>
    <w:rsid w:val="00AA5718"/>
    <w:rsid w:val="00AB2280"/>
    <w:rsid w:val="00AB37A2"/>
    <w:rsid w:val="00AB76D0"/>
    <w:rsid w:val="00AC11CB"/>
    <w:rsid w:val="00AC40C2"/>
    <w:rsid w:val="00AC51B7"/>
    <w:rsid w:val="00AC546D"/>
    <w:rsid w:val="00AC59A3"/>
    <w:rsid w:val="00AC672F"/>
    <w:rsid w:val="00AC7C5D"/>
    <w:rsid w:val="00AD1193"/>
    <w:rsid w:val="00AD4F2B"/>
    <w:rsid w:val="00AD73A0"/>
    <w:rsid w:val="00AE17D5"/>
    <w:rsid w:val="00AE2D6B"/>
    <w:rsid w:val="00AE32C5"/>
    <w:rsid w:val="00AE3991"/>
    <w:rsid w:val="00AE76A3"/>
    <w:rsid w:val="00AF0962"/>
    <w:rsid w:val="00AF0B49"/>
    <w:rsid w:val="00AF3F2E"/>
    <w:rsid w:val="00AF712C"/>
    <w:rsid w:val="00B008E5"/>
    <w:rsid w:val="00B04903"/>
    <w:rsid w:val="00B0579A"/>
    <w:rsid w:val="00B0724B"/>
    <w:rsid w:val="00B1130A"/>
    <w:rsid w:val="00B12649"/>
    <w:rsid w:val="00B13715"/>
    <w:rsid w:val="00B13A68"/>
    <w:rsid w:val="00B14E91"/>
    <w:rsid w:val="00B15621"/>
    <w:rsid w:val="00B158A5"/>
    <w:rsid w:val="00B166F6"/>
    <w:rsid w:val="00B252CA"/>
    <w:rsid w:val="00B2537B"/>
    <w:rsid w:val="00B26D42"/>
    <w:rsid w:val="00B27ABC"/>
    <w:rsid w:val="00B32907"/>
    <w:rsid w:val="00B3290F"/>
    <w:rsid w:val="00B34C29"/>
    <w:rsid w:val="00B34EBC"/>
    <w:rsid w:val="00B355D4"/>
    <w:rsid w:val="00B36A62"/>
    <w:rsid w:val="00B4080D"/>
    <w:rsid w:val="00B43F8E"/>
    <w:rsid w:val="00B4645C"/>
    <w:rsid w:val="00B51539"/>
    <w:rsid w:val="00B52776"/>
    <w:rsid w:val="00B56A72"/>
    <w:rsid w:val="00B62DEE"/>
    <w:rsid w:val="00B65936"/>
    <w:rsid w:val="00B66DD8"/>
    <w:rsid w:val="00B714E7"/>
    <w:rsid w:val="00B72A7F"/>
    <w:rsid w:val="00B73F5A"/>
    <w:rsid w:val="00B778F8"/>
    <w:rsid w:val="00B81087"/>
    <w:rsid w:val="00B813F3"/>
    <w:rsid w:val="00B821C7"/>
    <w:rsid w:val="00B82599"/>
    <w:rsid w:val="00B8304D"/>
    <w:rsid w:val="00B853F8"/>
    <w:rsid w:val="00B9036A"/>
    <w:rsid w:val="00B96672"/>
    <w:rsid w:val="00B97BD9"/>
    <w:rsid w:val="00BA10C9"/>
    <w:rsid w:val="00BB00FB"/>
    <w:rsid w:val="00BB094C"/>
    <w:rsid w:val="00BB6B1C"/>
    <w:rsid w:val="00BB6CC1"/>
    <w:rsid w:val="00BC2611"/>
    <w:rsid w:val="00BC3123"/>
    <w:rsid w:val="00BC5613"/>
    <w:rsid w:val="00BD0AAE"/>
    <w:rsid w:val="00BD5F81"/>
    <w:rsid w:val="00BE0011"/>
    <w:rsid w:val="00BE062F"/>
    <w:rsid w:val="00BE14BB"/>
    <w:rsid w:val="00BE6896"/>
    <w:rsid w:val="00BE729B"/>
    <w:rsid w:val="00BE75E9"/>
    <w:rsid w:val="00BF16DD"/>
    <w:rsid w:val="00BF5BE7"/>
    <w:rsid w:val="00BF6B95"/>
    <w:rsid w:val="00BF7569"/>
    <w:rsid w:val="00C002B9"/>
    <w:rsid w:val="00C03613"/>
    <w:rsid w:val="00C13EA9"/>
    <w:rsid w:val="00C1575F"/>
    <w:rsid w:val="00C2175A"/>
    <w:rsid w:val="00C21796"/>
    <w:rsid w:val="00C235F4"/>
    <w:rsid w:val="00C23A63"/>
    <w:rsid w:val="00C25A44"/>
    <w:rsid w:val="00C26517"/>
    <w:rsid w:val="00C27987"/>
    <w:rsid w:val="00C307D7"/>
    <w:rsid w:val="00C30936"/>
    <w:rsid w:val="00C3179C"/>
    <w:rsid w:val="00C31D90"/>
    <w:rsid w:val="00C3316A"/>
    <w:rsid w:val="00C3374F"/>
    <w:rsid w:val="00C354E0"/>
    <w:rsid w:val="00C409EC"/>
    <w:rsid w:val="00C45EC6"/>
    <w:rsid w:val="00C47E84"/>
    <w:rsid w:val="00C527C8"/>
    <w:rsid w:val="00C552E2"/>
    <w:rsid w:val="00C60CB2"/>
    <w:rsid w:val="00C615AD"/>
    <w:rsid w:val="00C616B3"/>
    <w:rsid w:val="00C623EC"/>
    <w:rsid w:val="00C62D6D"/>
    <w:rsid w:val="00C6398F"/>
    <w:rsid w:val="00C6592F"/>
    <w:rsid w:val="00C7105B"/>
    <w:rsid w:val="00C77A9E"/>
    <w:rsid w:val="00C8002B"/>
    <w:rsid w:val="00C80A6A"/>
    <w:rsid w:val="00C860FC"/>
    <w:rsid w:val="00C86BBC"/>
    <w:rsid w:val="00C906C5"/>
    <w:rsid w:val="00C90CC0"/>
    <w:rsid w:val="00C90E54"/>
    <w:rsid w:val="00C914A4"/>
    <w:rsid w:val="00C92EC4"/>
    <w:rsid w:val="00C94526"/>
    <w:rsid w:val="00C95B95"/>
    <w:rsid w:val="00C96DC5"/>
    <w:rsid w:val="00CA1A13"/>
    <w:rsid w:val="00CA1A3C"/>
    <w:rsid w:val="00CB2E28"/>
    <w:rsid w:val="00CB7067"/>
    <w:rsid w:val="00CC07E6"/>
    <w:rsid w:val="00CC0E49"/>
    <w:rsid w:val="00CC4516"/>
    <w:rsid w:val="00CC47E3"/>
    <w:rsid w:val="00CC4F4C"/>
    <w:rsid w:val="00CC5251"/>
    <w:rsid w:val="00CD39D6"/>
    <w:rsid w:val="00CD46E7"/>
    <w:rsid w:val="00CE00E3"/>
    <w:rsid w:val="00CE35A8"/>
    <w:rsid w:val="00CE5552"/>
    <w:rsid w:val="00CF146F"/>
    <w:rsid w:val="00CF4C26"/>
    <w:rsid w:val="00CF68EE"/>
    <w:rsid w:val="00D0015C"/>
    <w:rsid w:val="00D01AC4"/>
    <w:rsid w:val="00D03176"/>
    <w:rsid w:val="00D03678"/>
    <w:rsid w:val="00D03FE9"/>
    <w:rsid w:val="00D04CD6"/>
    <w:rsid w:val="00D065E7"/>
    <w:rsid w:val="00D068C3"/>
    <w:rsid w:val="00D11634"/>
    <w:rsid w:val="00D1424D"/>
    <w:rsid w:val="00D16E15"/>
    <w:rsid w:val="00D20F81"/>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637B"/>
    <w:rsid w:val="00D763D9"/>
    <w:rsid w:val="00D817CA"/>
    <w:rsid w:val="00D82ABB"/>
    <w:rsid w:val="00D94D3E"/>
    <w:rsid w:val="00D9556A"/>
    <w:rsid w:val="00DA24BE"/>
    <w:rsid w:val="00DA309A"/>
    <w:rsid w:val="00DA5360"/>
    <w:rsid w:val="00DA55A1"/>
    <w:rsid w:val="00DA5C76"/>
    <w:rsid w:val="00DA6E60"/>
    <w:rsid w:val="00DA7A8F"/>
    <w:rsid w:val="00DB196C"/>
    <w:rsid w:val="00DB20FA"/>
    <w:rsid w:val="00DB269C"/>
    <w:rsid w:val="00DB4977"/>
    <w:rsid w:val="00DB61D4"/>
    <w:rsid w:val="00DC258A"/>
    <w:rsid w:val="00DC3308"/>
    <w:rsid w:val="00DD03E9"/>
    <w:rsid w:val="00DD45F9"/>
    <w:rsid w:val="00DD47A5"/>
    <w:rsid w:val="00DD63E4"/>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36EF"/>
    <w:rsid w:val="00E259AB"/>
    <w:rsid w:val="00E25BF0"/>
    <w:rsid w:val="00E3253D"/>
    <w:rsid w:val="00E35A30"/>
    <w:rsid w:val="00E427BC"/>
    <w:rsid w:val="00E46406"/>
    <w:rsid w:val="00E473FA"/>
    <w:rsid w:val="00E5019D"/>
    <w:rsid w:val="00E53664"/>
    <w:rsid w:val="00E56F2C"/>
    <w:rsid w:val="00E57DF2"/>
    <w:rsid w:val="00E60B3E"/>
    <w:rsid w:val="00E620F2"/>
    <w:rsid w:val="00E6358C"/>
    <w:rsid w:val="00E64024"/>
    <w:rsid w:val="00E65107"/>
    <w:rsid w:val="00E6545C"/>
    <w:rsid w:val="00E672D8"/>
    <w:rsid w:val="00E70070"/>
    <w:rsid w:val="00E71630"/>
    <w:rsid w:val="00E720B5"/>
    <w:rsid w:val="00E7314B"/>
    <w:rsid w:val="00E75A1C"/>
    <w:rsid w:val="00E77420"/>
    <w:rsid w:val="00E8054F"/>
    <w:rsid w:val="00E82AB3"/>
    <w:rsid w:val="00E86389"/>
    <w:rsid w:val="00E86F24"/>
    <w:rsid w:val="00E96992"/>
    <w:rsid w:val="00E97BBC"/>
    <w:rsid w:val="00EA49A1"/>
    <w:rsid w:val="00EA6D16"/>
    <w:rsid w:val="00EB0A16"/>
    <w:rsid w:val="00EB0B32"/>
    <w:rsid w:val="00EB155A"/>
    <w:rsid w:val="00EB31CE"/>
    <w:rsid w:val="00EB38CD"/>
    <w:rsid w:val="00EB7917"/>
    <w:rsid w:val="00EC16EA"/>
    <w:rsid w:val="00EC1781"/>
    <w:rsid w:val="00EC1B77"/>
    <w:rsid w:val="00EC3296"/>
    <w:rsid w:val="00EC4D5F"/>
    <w:rsid w:val="00EC6BD7"/>
    <w:rsid w:val="00ED0389"/>
    <w:rsid w:val="00ED2289"/>
    <w:rsid w:val="00ED31F2"/>
    <w:rsid w:val="00ED3887"/>
    <w:rsid w:val="00ED3B13"/>
    <w:rsid w:val="00ED5A2F"/>
    <w:rsid w:val="00ED6317"/>
    <w:rsid w:val="00EE127F"/>
    <w:rsid w:val="00EE2C1F"/>
    <w:rsid w:val="00EE42DC"/>
    <w:rsid w:val="00EE493E"/>
    <w:rsid w:val="00EF091A"/>
    <w:rsid w:val="00EF0B8B"/>
    <w:rsid w:val="00EF27EE"/>
    <w:rsid w:val="00EF53D7"/>
    <w:rsid w:val="00EF72D7"/>
    <w:rsid w:val="00F00658"/>
    <w:rsid w:val="00F03066"/>
    <w:rsid w:val="00F033F5"/>
    <w:rsid w:val="00F047EF"/>
    <w:rsid w:val="00F055E4"/>
    <w:rsid w:val="00F07172"/>
    <w:rsid w:val="00F1257F"/>
    <w:rsid w:val="00F20826"/>
    <w:rsid w:val="00F21808"/>
    <w:rsid w:val="00F22451"/>
    <w:rsid w:val="00F25366"/>
    <w:rsid w:val="00F2591D"/>
    <w:rsid w:val="00F27054"/>
    <w:rsid w:val="00F27635"/>
    <w:rsid w:val="00F322D8"/>
    <w:rsid w:val="00F41270"/>
    <w:rsid w:val="00F413AD"/>
    <w:rsid w:val="00F44E14"/>
    <w:rsid w:val="00F4528A"/>
    <w:rsid w:val="00F526B0"/>
    <w:rsid w:val="00F53BE2"/>
    <w:rsid w:val="00F553A0"/>
    <w:rsid w:val="00F627F4"/>
    <w:rsid w:val="00F64729"/>
    <w:rsid w:val="00F6711A"/>
    <w:rsid w:val="00F67D4C"/>
    <w:rsid w:val="00F70104"/>
    <w:rsid w:val="00F81ABE"/>
    <w:rsid w:val="00F820C7"/>
    <w:rsid w:val="00F845CB"/>
    <w:rsid w:val="00F84CCA"/>
    <w:rsid w:val="00F862EC"/>
    <w:rsid w:val="00F8751A"/>
    <w:rsid w:val="00FA1483"/>
    <w:rsid w:val="00FA4EB9"/>
    <w:rsid w:val="00FB19D5"/>
    <w:rsid w:val="00FB1D99"/>
    <w:rsid w:val="00FB2639"/>
    <w:rsid w:val="00FB3E30"/>
    <w:rsid w:val="00FB4BCB"/>
    <w:rsid w:val="00FB512F"/>
    <w:rsid w:val="00FB6DC6"/>
    <w:rsid w:val="00FC12A9"/>
    <w:rsid w:val="00FC305A"/>
    <w:rsid w:val="00FD0AA6"/>
    <w:rsid w:val="00FD3AAD"/>
    <w:rsid w:val="00FD5571"/>
    <w:rsid w:val="00FD6066"/>
    <w:rsid w:val="00FD7B45"/>
    <w:rsid w:val="00FE6C35"/>
    <w:rsid w:val="00FF4A86"/>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E82C70"/>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A6523"/>
    <w:rPr>
      <w:rFonts w:ascii="Times New Roman" w:hAnsi="Times New Roman"/>
      <w:sz w:val="24"/>
      <w:szCs w:val="24"/>
      <w:lang w:eastAsia="en-GB"/>
    </w:rPr>
  </w:style>
  <w:style w:type="character" w:customStyle="1" w:styleId="normaltextrun1">
    <w:name w:val="normaltextrun1"/>
    <w:rsid w:val="003A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248081053">
      <w:bodyDiv w:val="1"/>
      <w:marLeft w:val="0"/>
      <w:marRight w:val="0"/>
      <w:marTop w:val="0"/>
      <w:marBottom w:val="0"/>
      <w:divBdr>
        <w:top w:val="none" w:sz="0" w:space="0" w:color="auto"/>
        <w:left w:val="none" w:sz="0" w:space="0" w:color="auto"/>
        <w:bottom w:val="none" w:sz="0" w:space="0" w:color="auto"/>
        <w:right w:val="none" w:sz="0" w:space="0" w:color="auto"/>
      </w:divBdr>
    </w:div>
    <w:div w:id="257375566">
      <w:bodyDiv w:val="1"/>
      <w:marLeft w:val="0"/>
      <w:marRight w:val="0"/>
      <w:marTop w:val="0"/>
      <w:marBottom w:val="0"/>
      <w:divBdr>
        <w:top w:val="none" w:sz="0" w:space="0" w:color="auto"/>
        <w:left w:val="none" w:sz="0" w:space="0" w:color="auto"/>
        <w:bottom w:val="none" w:sz="0" w:space="0" w:color="auto"/>
        <w:right w:val="none" w:sz="0" w:space="0" w:color="auto"/>
      </w:divBdr>
    </w:div>
    <w:div w:id="323707768">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731967">
      <w:bodyDiv w:val="1"/>
      <w:marLeft w:val="0"/>
      <w:marRight w:val="0"/>
      <w:marTop w:val="0"/>
      <w:marBottom w:val="0"/>
      <w:divBdr>
        <w:top w:val="none" w:sz="0" w:space="0" w:color="auto"/>
        <w:left w:val="none" w:sz="0" w:space="0" w:color="auto"/>
        <w:bottom w:val="none" w:sz="0" w:space="0" w:color="auto"/>
        <w:right w:val="none" w:sz="0" w:space="0" w:color="auto"/>
      </w:divBdr>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13328743">
      <w:bodyDiv w:val="1"/>
      <w:marLeft w:val="0"/>
      <w:marRight w:val="0"/>
      <w:marTop w:val="0"/>
      <w:marBottom w:val="0"/>
      <w:divBdr>
        <w:top w:val="none" w:sz="0" w:space="0" w:color="auto"/>
        <w:left w:val="none" w:sz="0" w:space="0" w:color="auto"/>
        <w:bottom w:val="none" w:sz="0" w:space="0" w:color="auto"/>
        <w:right w:val="none" w:sz="0" w:space="0" w:color="auto"/>
      </w:divBdr>
      <w:divsChild>
        <w:div w:id="386028539">
          <w:marLeft w:val="1166"/>
          <w:marRight w:val="0"/>
          <w:marTop w:val="86"/>
          <w:marBottom w:val="0"/>
          <w:divBdr>
            <w:top w:val="none" w:sz="0" w:space="0" w:color="auto"/>
            <w:left w:val="none" w:sz="0" w:space="0" w:color="auto"/>
            <w:bottom w:val="none" w:sz="0" w:space="0" w:color="auto"/>
            <w:right w:val="none" w:sz="0" w:space="0" w:color="auto"/>
          </w:divBdr>
        </w:div>
        <w:div w:id="598879529">
          <w:marLeft w:val="1166"/>
          <w:marRight w:val="0"/>
          <w:marTop w:val="86"/>
          <w:marBottom w:val="0"/>
          <w:divBdr>
            <w:top w:val="none" w:sz="0" w:space="0" w:color="auto"/>
            <w:left w:val="none" w:sz="0" w:space="0" w:color="auto"/>
            <w:bottom w:val="none" w:sz="0" w:space="0" w:color="auto"/>
            <w:right w:val="none" w:sz="0" w:space="0" w:color="auto"/>
          </w:divBdr>
        </w:div>
        <w:div w:id="1177579938">
          <w:marLeft w:val="1166"/>
          <w:marRight w:val="0"/>
          <w:marTop w:val="86"/>
          <w:marBottom w:val="0"/>
          <w:divBdr>
            <w:top w:val="none" w:sz="0" w:space="0" w:color="auto"/>
            <w:left w:val="none" w:sz="0" w:space="0" w:color="auto"/>
            <w:bottom w:val="none" w:sz="0" w:space="0" w:color="auto"/>
            <w:right w:val="none" w:sz="0" w:space="0" w:color="auto"/>
          </w:divBdr>
        </w:div>
        <w:div w:id="696734250">
          <w:marLeft w:val="1166"/>
          <w:marRight w:val="0"/>
          <w:marTop w:val="86"/>
          <w:marBottom w:val="0"/>
          <w:divBdr>
            <w:top w:val="none" w:sz="0" w:space="0" w:color="auto"/>
            <w:left w:val="none" w:sz="0" w:space="0" w:color="auto"/>
            <w:bottom w:val="none" w:sz="0" w:space="0" w:color="auto"/>
            <w:right w:val="none" w:sz="0" w:space="0" w:color="auto"/>
          </w:divBdr>
        </w:div>
      </w:divsChild>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263149505">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536962414">
      <w:bodyDiv w:val="1"/>
      <w:marLeft w:val="0"/>
      <w:marRight w:val="0"/>
      <w:marTop w:val="0"/>
      <w:marBottom w:val="0"/>
      <w:divBdr>
        <w:top w:val="none" w:sz="0" w:space="0" w:color="auto"/>
        <w:left w:val="none" w:sz="0" w:space="0" w:color="auto"/>
        <w:bottom w:val="none" w:sz="0" w:space="0" w:color="auto"/>
        <w:right w:val="none" w:sz="0" w:space="0" w:color="auto"/>
      </w:divBdr>
    </w:div>
    <w:div w:id="1540169918">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8939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hey@loca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psboar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board.org/index.php/events" TargetMode="External"/><Relationship Id="rId5" Type="http://schemas.openxmlformats.org/officeDocument/2006/relationships/numbering" Target="numbering.xml"/><Relationship Id="rId15" Type="http://schemas.openxmlformats.org/officeDocument/2006/relationships/hyperlink" Target="https://www.local.gov.uk/sites/default/files/documents/workforce%20-%20fire%20and%20rescue%20services%20joint%20circulars%20-%20njc-8-17%20IFSG%20strategies%20with%20survey.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workforce%20-%20fire%20and%20rescue%20services%20joint%20circulars%20-%20Broadening%20Responsibilities%20of%20FRS%20-%20Main%20Report%20-%20Final%20with%20Summary%20F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7E15-5C7A-416D-8DC7-15E6460E495C}">
  <ds:schemaRefs>
    <ds:schemaRef ds:uri="http://schemas.microsoft.com/office/infopath/2007/PartnerControls"/>
    <ds:schemaRef ds:uri="c8febe6a-14d9-43ab-83c3-c48f478fa47c"/>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1c8a0e75-f4bc-4eb4-8ed0-578eaea9e1ca"/>
    <ds:schemaRef ds:uri="http://purl.org/dc/terms/"/>
  </ds:schemaRefs>
</ds:datastoreItem>
</file>

<file path=customXml/itemProps2.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3.xml><?xml version="1.0" encoding="utf-8"?>
<ds:datastoreItem xmlns:ds="http://schemas.openxmlformats.org/officeDocument/2006/customXml" ds:itemID="{AD4E2570-4DA7-4A11-A6EE-D6442C387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3A84E-BD39-4524-A4CF-62B00A6E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66237CA8</Template>
  <TotalTime>0</TotalTime>
  <Pages>4</Pages>
  <Words>870</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6147</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Simon Pannell</dc:creator>
  <cp:lastModifiedBy>Felicity Harris</cp:lastModifiedBy>
  <cp:revision>2</cp:revision>
  <cp:lastPrinted>2014-07-04T12:37:00Z</cp:lastPrinted>
  <dcterms:created xsi:type="dcterms:W3CDTF">2017-11-10T14:52:00Z</dcterms:created>
  <dcterms:modified xsi:type="dcterms:W3CDTF">2017-11-10T14:52:00Z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y fmtid="{D5CDD505-2E9C-101B-9397-08002B2CF9AE}" pid="3" name="TaxKeyword">
    <vt:lpwstr/>
  </property>
  <property fmtid="{D5CDD505-2E9C-101B-9397-08002B2CF9AE}" pid="4" name="WorkflowChangePath">
    <vt:lpwstr>24f8e0b2-4c82-4946-8ffa-848df0c0da99,2;</vt:lpwstr>
  </property>
</Properties>
</file>